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8F868" w14:textId="04C7BA3D" w:rsidR="00097D8F" w:rsidRPr="00FB7D05" w:rsidRDefault="00097D8F" w:rsidP="00FB7D05">
      <w:pPr>
        <w:pStyle w:val="Title"/>
        <w:rPr>
          <w:rFonts w:ascii="Arial" w:hAnsi="Arial" w:cs="Arial"/>
          <w:sz w:val="32"/>
          <w:szCs w:val="32"/>
        </w:rPr>
      </w:pPr>
      <w:r w:rsidRPr="00FB7D05">
        <w:rPr>
          <w:rFonts w:ascii="Arial" w:hAnsi="Arial" w:cs="Arial"/>
          <w:sz w:val="32"/>
          <w:szCs w:val="32"/>
        </w:rPr>
        <w:t>Proctitis</w:t>
      </w:r>
    </w:p>
    <w:p w14:paraId="4DC5E77A" w14:textId="5C177CC4" w:rsidR="00E36B0B" w:rsidRPr="003F12D8" w:rsidRDefault="00E36B0B" w:rsidP="00E36B0B">
      <w:pPr>
        <w:pStyle w:val="Heading1"/>
        <w:rPr>
          <w:rFonts w:ascii="Calibri" w:hAnsi="Calibri" w:cs="Calibri"/>
          <w:color w:val="000000" w:themeColor="text1"/>
          <w:lang w:val="fr-FR"/>
        </w:rPr>
      </w:pPr>
      <w:r w:rsidRPr="003F12D8">
        <w:rPr>
          <w:rFonts w:ascii="Calibri" w:hAnsi="Calibri" w:cs="Calibri"/>
          <w:color w:val="000000" w:themeColor="text1"/>
          <w:lang w:val="fr-FR"/>
        </w:rPr>
        <w:t>Cause</w:t>
      </w:r>
    </w:p>
    <w:p w14:paraId="20583CFA" w14:textId="225C49F0" w:rsidR="007B2FB7" w:rsidRPr="003F12D8" w:rsidRDefault="007B2FB7" w:rsidP="00E36B0B">
      <w:pPr>
        <w:pStyle w:val="ListParagraph"/>
        <w:numPr>
          <w:ilvl w:val="0"/>
          <w:numId w:val="6"/>
        </w:numPr>
        <w:rPr>
          <w:rFonts w:ascii="Calibri" w:hAnsi="Calibri" w:cs="Calibri"/>
          <w:color w:val="000000" w:themeColor="text1"/>
          <w:lang w:val="en-GB"/>
        </w:rPr>
      </w:pPr>
      <w:r w:rsidRPr="003F12D8">
        <w:rPr>
          <w:rFonts w:ascii="Calibri" w:hAnsi="Calibri" w:cs="Calibri"/>
          <w:color w:val="000000" w:themeColor="text1"/>
          <w:sz w:val="22"/>
          <w:szCs w:val="22"/>
        </w:rPr>
        <w:t>I</w:t>
      </w:r>
      <w:r w:rsidR="00E36B0B" w:rsidRPr="003F12D8">
        <w:rPr>
          <w:rFonts w:ascii="Calibri" w:hAnsi="Calibri" w:cs="Calibri"/>
          <w:color w:val="000000" w:themeColor="text1"/>
          <w:sz w:val="22"/>
          <w:szCs w:val="22"/>
        </w:rPr>
        <w:t>nflammation of the anal canal and distal rectum</w:t>
      </w:r>
      <w:r w:rsidRPr="003F12D8">
        <w:rPr>
          <w:rFonts w:ascii="Calibri" w:hAnsi="Calibri" w:cs="Calibri"/>
          <w:color w:val="000000" w:themeColor="text1"/>
          <w:sz w:val="22"/>
          <w:szCs w:val="22"/>
        </w:rPr>
        <w:t>.</w:t>
      </w:r>
    </w:p>
    <w:p w14:paraId="0C1A5C6C" w14:textId="082A4A74" w:rsidR="00E36B0B" w:rsidRPr="003F12D8" w:rsidRDefault="007B2FB7" w:rsidP="00E36B0B">
      <w:pPr>
        <w:pStyle w:val="ListParagraph"/>
        <w:numPr>
          <w:ilvl w:val="0"/>
          <w:numId w:val="6"/>
        </w:numPr>
        <w:rPr>
          <w:rFonts w:ascii="Calibri" w:hAnsi="Calibri" w:cs="Calibri"/>
          <w:color w:val="000000" w:themeColor="text1"/>
          <w:lang w:val="en-GB"/>
        </w:rPr>
      </w:pPr>
      <w:r w:rsidRPr="003F12D8">
        <w:rPr>
          <w:rFonts w:ascii="Calibri" w:hAnsi="Calibri" w:cs="Calibri"/>
          <w:color w:val="000000" w:themeColor="text1"/>
          <w:sz w:val="22"/>
          <w:szCs w:val="22"/>
        </w:rPr>
        <w:t>C</w:t>
      </w:r>
      <w:r w:rsidR="00E36B0B" w:rsidRPr="003F12D8">
        <w:rPr>
          <w:rFonts w:ascii="Calibri" w:hAnsi="Calibri" w:cs="Calibri"/>
          <w:color w:val="000000" w:themeColor="text1"/>
          <w:sz w:val="22"/>
          <w:szCs w:val="22"/>
        </w:rPr>
        <w:t>an be infective or non</w:t>
      </w:r>
      <w:r w:rsidRPr="003F12D8">
        <w:rPr>
          <w:rFonts w:ascii="Calibri" w:hAnsi="Calibri" w:cs="Calibri"/>
          <w:color w:val="000000" w:themeColor="text1"/>
          <w:sz w:val="22"/>
          <w:szCs w:val="22"/>
        </w:rPr>
        <w:t>-</w:t>
      </w:r>
      <w:r w:rsidR="00E36B0B" w:rsidRPr="003F12D8">
        <w:rPr>
          <w:rFonts w:ascii="Calibri" w:hAnsi="Calibri" w:cs="Calibri"/>
          <w:color w:val="000000" w:themeColor="text1"/>
          <w:sz w:val="22"/>
          <w:szCs w:val="22"/>
        </w:rPr>
        <w:t>infective.</w:t>
      </w:r>
    </w:p>
    <w:p w14:paraId="7EBE87CF" w14:textId="77777777" w:rsidR="00E36B0B" w:rsidRPr="003F12D8" w:rsidRDefault="00E36B0B" w:rsidP="00E36B0B">
      <w:pPr>
        <w:pStyle w:val="ListParagraph"/>
        <w:numPr>
          <w:ilvl w:val="0"/>
          <w:numId w:val="6"/>
        </w:numPr>
        <w:rPr>
          <w:rFonts w:ascii="Calibri" w:hAnsi="Calibri" w:cs="Calibri"/>
          <w:color w:val="000000" w:themeColor="text1"/>
          <w:lang w:val="en-GB"/>
        </w:rPr>
      </w:pPr>
      <w:r w:rsidRPr="003F12D8">
        <w:rPr>
          <w:rFonts w:ascii="Calibri" w:hAnsi="Calibri" w:cs="Calibri"/>
          <w:color w:val="000000" w:themeColor="text1"/>
          <w:sz w:val="22"/>
          <w:szCs w:val="22"/>
        </w:rPr>
        <w:t>Sexually acquired proctitis occurs predominantly among men who have sex with men (MSM) but can occur in men or women who have had receptive anal intercourse. Sexually acquired proctitis is commonly caused by: </w:t>
      </w:r>
    </w:p>
    <w:p w14:paraId="50E010BA" w14:textId="77777777" w:rsidR="00E36B0B" w:rsidRPr="003F12D8" w:rsidRDefault="00E36B0B" w:rsidP="00E36B0B">
      <w:pPr>
        <w:pStyle w:val="ListParagraph"/>
        <w:numPr>
          <w:ilvl w:val="1"/>
          <w:numId w:val="6"/>
        </w:numPr>
        <w:rPr>
          <w:rFonts w:ascii="Calibri" w:hAnsi="Calibri" w:cs="Calibri"/>
          <w:color w:val="000000" w:themeColor="text1"/>
          <w:lang w:val="en-GB"/>
        </w:rPr>
      </w:pPr>
      <w:r w:rsidRPr="003F12D8">
        <w:rPr>
          <w:rFonts w:ascii="Calibri" w:eastAsia="Times New Roman" w:hAnsi="Calibri" w:cs="Calibri"/>
          <w:i/>
          <w:color w:val="000000" w:themeColor="text1"/>
          <w:sz w:val="23"/>
          <w:szCs w:val="23"/>
        </w:rPr>
        <w:t>Chlamydia trachomatis</w:t>
      </w:r>
      <w:r w:rsidRPr="003F12D8">
        <w:rPr>
          <w:rFonts w:ascii="Calibri" w:eastAsia="Times New Roman" w:hAnsi="Calibri" w:cs="Calibri"/>
          <w:color w:val="000000" w:themeColor="text1"/>
          <w:sz w:val="23"/>
          <w:szCs w:val="23"/>
        </w:rPr>
        <w:t xml:space="preserve"> (including Lymphogranuloma Venereum or LGV)</w:t>
      </w:r>
    </w:p>
    <w:p w14:paraId="5D5EF5B8" w14:textId="77777777" w:rsidR="00E36B0B" w:rsidRPr="003F12D8" w:rsidRDefault="00E36B0B" w:rsidP="00E36B0B">
      <w:pPr>
        <w:pStyle w:val="ListParagraph"/>
        <w:numPr>
          <w:ilvl w:val="1"/>
          <w:numId w:val="6"/>
        </w:numPr>
        <w:rPr>
          <w:rFonts w:ascii="Calibri" w:hAnsi="Calibri" w:cs="Calibri"/>
          <w:color w:val="000000" w:themeColor="text1"/>
          <w:lang w:val="en-GB"/>
        </w:rPr>
      </w:pPr>
      <w:r w:rsidRPr="003F12D8">
        <w:rPr>
          <w:rFonts w:ascii="Calibri" w:eastAsia="Times New Roman" w:hAnsi="Calibri" w:cs="Calibri"/>
          <w:i/>
          <w:color w:val="000000" w:themeColor="text1"/>
          <w:sz w:val="23"/>
          <w:szCs w:val="23"/>
        </w:rPr>
        <w:t>Neisseria gonorrhoeae</w:t>
      </w:r>
    </w:p>
    <w:p w14:paraId="37011175" w14:textId="4328E407" w:rsidR="00E36B0B" w:rsidRPr="003F12D8" w:rsidRDefault="00E36B0B" w:rsidP="00E36B0B">
      <w:pPr>
        <w:pStyle w:val="ListParagraph"/>
        <w:numPr>
          <w:ilvl w:val="1"/>
          <w:numId w:val="6"/>
        </w:numPr>
        <w:rPr>
          <w:rFonts w:ascii="Calibri" w:hAnsi="Calibri" w:cs="Calibri"/>
          <w:color w:val="000000" w:themeColor="text1"/>
          <w:lang w:val="en-GB"/>
        </w:rPr>
      </w:pPr>
      <w:r w:rsidRPr="003F12D8">
        <w:rPr>
          <w:rFonts w:ascii="Calibri" w:eastAsia="Times New Roman" w:hAnsi="Calibri" w:cs="Calibri"/>
          <w:i/>
          <w:color w:val="000000" w:themeColor="text1"/>
          <w:sz w:val="23"/>
          <w:szCs w:val="23"/>
        </w:rPr>
        <w:t>Herpes Simplex</w:t>
      </w:r>
      <w:r w:rsidRPr="003F12D8">
        <w:rPr>
          <w:rFonts w:ascii="Calibri" w:eastAsia="Times New Roman" w:hAnsi="Calibri" w:cs="Calibri"/>
          <w:color w:val="000000" w:themeColor="text1"/>
          <w:sz w:val="23"/>
          <w:szCs w:val="23"/>
        </w:rPr>
        <w:t xml:space="preserve"> virus types 1 and 2 (HSV-1 and -2) </w:t>
      </w:r>
    </w:p>
    <w:p w14:paraId="53892B08" w14:textId="5F7A7D72" w:rsidR="00806466" w:rsidRPr="003F12D8" w:rsidRDefault="00E36B0B" w:rsidP="00806466">
      <w:pPr>
        <w:pStyle w:val="ListParagraph"/>
        <w:numPr>
          <w:ilvl w:val="1"/>
          <w:numId w:val="6"/>
        </w:numPr>
        <w:rPr>
          <w:rFonts w:ascii="Calibri" w:hAnsi="Calibri" w:cs="Calibri"/>
          <w:color w:val="000000" w:themeColor="text1"/>
          <w:lang w:val="en-GB"/>
        </w:rPr>
      </w:pPr>
      <w:r w:rsidRPr="003F12D8">
        <w:rPr>
          <w:rFonts w:ascii="Calibri" w:eastAsia="Times New Roman" w:hAnsi="Calibri" w:cs="Calibri"/>
          <w:i/>
          <w:color w:val="000000" w:themeColor="text1"/>
          <w:sz w:val="23"/>
          <w:szCs w:val="23"/>
        </w:rPr>
        <w:t>Mycoplasma genitalium</w:t>
      </w:r>
    </w:p>
    <w:p w14:paraId="5FDCF7C2" w14:textId="2E172B99" w:rsidR="00806466" w:rsidRPr="003F12D8" w:rsidRDefault="007B2FB7" w:rsidP="007B2FB7">
      <w:pPr>
        <w:pStyle w:val="ListParagraph"/>
        <w:numPr>
          <w:ilvl w:val="2"/>
          <w:numId w:val="6"/>
        </w:numPr>
        <w:rPr>
          <w:rFonts w:ascii="Calibri" w:hAnsi="Calibri" w:cs="Calibri"/>
          <w:color w:val="000000" w:themeColor="text1"/>
          <w:sz w:val="23"/>
          <w:szCs w:val="23"/>
          <w:lang w:val="en-GB"/>
        </w:rPr>
      </w:pPr>
      <w:r w:rsidRPr="003F12D8">
        <w:rPr>
          <w:rFonts w:ascii="Calibri" w:eastAsia="Times New Roman" w:hAnsi="Calibri" w:cs="Calibri"/>
          <w:color w:val="000000" w:themeColor="text1"/>
          <w:sz w:val="23"/>
          <w:szCs w:val="23"/>
        </w:rPr>
        <w:t>Evidence for the association with proctitis is mixed; t</w:t>
      </w:r>
      <w:r w:rsidR="00806466" w:rsidRPr="003F12D8">
        <w:rPr>
          <w:rFonts w:ascii="Calibri" w:eastAsia="Times New Roman" w:hAnsi="Calibri" w:cs="Calibri"/>
          <w:color w:val="000000" w:themeColor="text1"/>
          <w:sz w:val="23"/>
          <w:szCs w:val="23"/>
        </w:rPr>
        <w:t xml:space="preserve">esting first line for </w:t>
      </w:r>
      <w:r w:rsidR="00806466" w:rsidRPr="003F12D8">
        <w:rPr>
          <w:rFonts w:ascii="Calibri" w:eastAsia="Times New Roman" w:hAnsi="Calibri" w:cs="Calibri"/>
          <w:i/>
          <w:iCs/>
          <w:color w:val="000000" w:themeColor="text1"/>
          <w:sz w:val="23"/>
          <w:szCs w:val="23"/>
        </w:rPr>
        <w:t>M.</w:t>
      </w:r>
      <w:r w:rsidRPr="003F12D8">
        <w:rPr>
          <w:rFonts w:ascii="Calibri" w:eastAsia="Times New Roman" w:hAnsi="Calibri" w:cs="Calibri"/>
          <w:i/>
          <w:iCs/>
          <w:color w:val="000000" w:themeColor="text1"/>
          <w:sz w:val="23"/>
          <w:szCs w:val="23"/>
        </w:rPr>
        <w:t xml:space="preserve"> </w:t>
      </w:r>
      <w:r w:rsidR="00806466" w:rsidRPr="003F12D8">
        <w:rPr>
          <w:rFonts w:ascii="Calibri" w:eastAsia="Times New Roman" w:hAnsi="Calibri" w:cs="Calibri"/>
          <w:i/>
          <w:iCs/>
          <w:color w:val="000000" w:themeColor="text1"/>
          <w:sz w:val="23"/>
          <w:szCs w:val="23"/>
        </w:rPr>
        <w:t>genitalium</w:t>
      </w:r>
      <w:r w:rsidR="00806466" w:rsidRPr="003F12D8">
        <w:rPr>
          <w:rFonts w:ascii="Calibri" w:eastAsia="Times New Roman" w:hAnsi="Calibri" w:cs="Calibri"/>
          <w:color w:val="000000" w:themeColor="text1"/>
          <w:sz w:val="23"/>
          <w:szCs w:val="23"/>
        </w:rPr>
        <w:t xml:space="preserve"> in men with proctitis is therefore not recommended.</w:t>
      </w:r>
    </w:p>
    <w:p w14:paraId="01F88761" w14:textId="330A81BD" w:rsidR="00806466" w:rsidRPr="003F12D8" w:rsidRDefault="00E36B0B" w:rsidP="00806466">
      <w:pPr>
        <w:pStyle w:val="ListParagraph"/>
        <w:numPr>
          <w:ilvl w:val="1"/>
          <w:numId w:val="6"/>
        </w:numPr>
        <w:rPr>
          <w:rFonts w:ascii="Calibri" w:hAnsi="Calibri" w:cs="Calibri"/>
          <w:color w:val="000000" w:themeColor="text1"/>
          <w:lang w:val="en-GB"/>
        </w:rPr>
      </w:pPr>
      <w:r w:rsidRPr="003F12D8">
        <w:rPr>
          <w:rFonts w:ascii="Calibri" w:hAnsi="Calibri" w:cs="Calibri"/>
          <w:color w:val="000000" w:themeColor="text1"/>
          <w:sz w:val="22"/>
          <w:szCs w:val="22"/>
        </w:rPr>
        <w:t xml:space="preserve">HSV, LGV and proctitis associated with combinations of the above pathogens is more common among MSM </w:t>
      </w:r>
      <w:r w:rsidR="00806466" w:rsidRPr="003F12D8">
        <w:rPr>
          <w:rFonts w:ascii="Calibri" w:hAnsi="Calibri" w:cs="Calibri"/>
          <w:color w:val="000000" w:themeColor="text1"/>
          <w:sz w:val="22"/>
          <w:szCs w:val="22"/>
        </w:rPr>
        <w:t xml:space="preserve">living with HIV </w:t>
      </w:r>
      <w:r w:rsidRPr="003F12D8">
        <w:rPr>
          <w:rFonts w:ascii="Calibri" w:hAnsi="Calibri" w:cs="Calibri"/>
          <w:color w:val="000000" w:themeColor="text1"/>
          <w:sz w:val="22"/>
          <w:szCs w:val="22"/>
        </w:rPr>
        <w:t>compared with MSM</w:t>
      </w:r>
      <w:r w:rsidR="00806466" w:rsidRPr="003F12D8">
        <w:rPr>
          <w:rFonts w:ascii="Calibri" w:hAnsi="Calibri" w:cs="Calibri"/>
          <w:color w:val="000000" w:themeColor="text1"/>
          <w:sz w:val="22"/>
          <w:szCs w:val="22"/>
        </w:rPr>
        <w:t xml:space="preserve"> without HIV</w:t>
      </w:r>
      <w:r w:rsidRPr="003F12D8">
        <w:rPr>
          <w:rFonts w:ascii="Calibri" w:hAnsi="Calibri" w:cs="Calibri"/>
          <w:color w:val="000000" w:themeColor="text1"/>
          <w:sz w:val="22"/>
          <w:szCs w:val="22"/>
        </w:rPr>
        <w:t xml:space="preserve">. </w:t>
      </w:r>
    </w:p>
    <w:p w14:paraId="01C5D192" w14:textId="77777777" w:rsidR="00806466" w:rsidRPr="003F12D8" w:rsidRDefault="00806466" w:rsidP="00806466">
      <w:pPr>
        <w:pStyle w:val="ListParagraph"/>
        <w:numPr>
          <w:ilvl w:val="0"/>
          <w:numId w:val="6"/>
        </w:numPr>
        <w:spacing w:after="120" w:line="312" w:lineRule="atLeast"/>
        <w:textAlignment w:val="baseline"/>
        <w:rPr>
          <w:rFonts w:ascii="Calibri" w:hAnsi="Calibri" w:cs="Calibri"/>
          <w:color w:val="000000" w:themeColor="text1"/>
          <w:sz w:val="22"/>
          <w:szCs w:val="22"/>
        </w:rPr>
      </w:pPr>
      <w:proofErr w:type="spellStart"/>
      <w:r w:rsidRPr="003F12D8">
        <w:rPr>
          <w:rFonts w:ascii="Calibri" w:hAnsi="Calibri" w:cs="Calibri"/>
          <w:color w:val="000000" w:themeColor="text1"/>
          <w:sz w:val="22"/>
          <w:szCs w:val="22"/>
        </w:rPr>
        <w:t>Procto</w:t>
      </w:r>
      <w:proofErr w:type="spellEnd"/>
      <w:r w:rsidRPr="003F12D8">
        <w:rPr>
          <w:rFonts w:ascii="Calibri" w:hAnsi="Calibri" w:cs="Calibri"/>
          <w:color w:val="000000" w:themeColor="text1"/>
          <w:sz w:val="22"/>
          <w:szCs w:val="22"/>
        </w:rPr>
        <w:t xml:space="preserve">-colitis can also be caused by enteric pathogens such as campylobacter, salmonella and shigella some of which may be transmitted between men during sexual contact via the faecal-oral route. </w:t>
      </w:r>
    </w:p>
    <w:p w14:paraId="351FED2D" w14:textId="6A3F7933" w:rsidR="00806466" w:rsidRPr="003F12D8" w:rsidRDefault="00806466" w:rsidP="00806466">
      <w:pPr>
        <w:pStyle w:val="ListParagraph"/>
        <w:numPr>
          <w:ilvl w:val="0"/>
          <w:numId w:val="6"/>
        </w:numPr>
        <w:spacing w:after="120" w:line="312" w:lineRule="atLeast"/>
        <w:textAlignment w:val="baseline"/>
        <w:rPr>
          <w:rFonts w:ascii="Calibri" w:hAnsi="Calibri" w:cs="Calibri"/>
          <w:color w:val="000000" w:themeColor="text1"/>
          <w:sz w:val="22"/>
          <w:szCs w:val="22"/>
        </w:rPr>
      </w:pPr>
      <w:r w:rsidRPr="003F12D8">
        <w:rPr>
          <w:rFonts w:ascii="Calibri" w:hAnsi="Calibri" w:cs="Calibri"/>
          <w:color w:val="000000" w:themeColor="text1"/>
          <w:sz w:val="22"/>
          <w:szCs w:val="22"/>
        </w:rPr>
        <w:t>Non-infective causes of proctitis may include inflammatory bowel disease (ulcerative colitis or Crohn’s disease) or from radiation therapy. </w:t>
      </w:r>
    </w:p>
    <w:p w14:paraId="7E13BA26" w14:textId="08B69545" w:rsidR="00E36B0B" w:rsidRPr="003F12D8" w:rsidRDefault="00E36B0B" w:rsidP="00E36B0B">
      <w:pPr>
        <w:pStyle w:val="Heading1"/>
        <w:rPr>
          <w:rFonts w:ascii="Calibri" w:hAnsi="Calibri" w:cs="Calibri"/>
          <w:color w:val="000000" w:themeColor="text1"/>
          <w:lang w:val="fr-FR"/>
        </w:rPr>
      </w:pPr>
      <w:proofErr w:type="spellStart"/>
      <w:r w:rsidRPr="003F12D8">
        <w:rPr>
          <w:rFonts w:ascii="Calibri" w:hAnsi="Calibri" w:cs="Calibri"/>
          <w:color w:val="000000" w:themeColor="text1"/>
          <w:lang w:val="fr-FR"/>
        </w:rPr>
        <w:t>Clinical</w:t>
      </w:r>
      <w:proofErr w:type="spellEnd"/>
      <w:r w:rsidRPr="003F12D8">
        <w:rPr>
          <w:rFonts w:ascii="Calibri" w:hAnsi="Calibri" w:cs="Calibri"/>
          <w:color w:val="000000" w:themeColor="text1"/>
          <w:lang w:val="fr-FR"/>
        </w:rPr>
        <w:t xml:space="preserve"> </w:t>
      </w:r>
      <w:proofErr w:type="spellStart"/>
      <w:r w:rsidRPr="003F12D8">
        <w:rPr>
          <w:rFonts w:ascii="Calibri" w:hAnsi="Calibri" w:cs="Calibri"/>
          <w:color w:val="000000" w:themeColor="text1"/>
          <w:lang w:val="fr-FR"/>
        </w:rPr>
        <w:t>presentation</w:t>
      </w:r>
      <w:proofErr w:type="spellEnd"/>
    </w:p>
    <w:p w14:paraId="52088F8E" w14:textId="77777777" w:rsidR="00E36B0B" w:rsidRPr="003F12D8" w:rsidRDefault="00E36B0B" w:rsidP="00E36B0B">
      <w:pPr>
        <w:pStyle w:val="ListParagraph"/>
        <w:numPr>
          <w:ilvl w:val="0"/>
          <w:numId w:val="6"/>
        </w:numPr>
        <w:rPr>
          <w:rFonts w:ascii="Calibri" w:hAnsi="Calibri" w:cs="Calibri"/>
          <w:color w:val="000000" w:themeColor="text1"/>
          <w:lang w:val="en-GB"/>
        </w:rPr>
      </w:pPr>
      <w:r w:rsidRPr="003F12D8">
        <w:rPr>
          <w:rFonts w:ascii="Calibri" w:hAnsi="Calibri" w:cs="Calibri"/>
          <w:color w:val="000000" w:themeColor="text1"/>
          <w:sz w:val="22"/>
          <w:szCs w:val="22"/>
        </w:rPr>
        <w:t xml:space="preserve">Sexually acquired proctitis is commonly asymptomatic but when symptoms are </w:t>
      </w:r>
      <w:proofErr w:type="gramStart"/>
      <w:r w:rsidRPr="003F12D8">
        <w:rPr>
          <w:rFonts w:ascii="Calibri" w:hAnsi="Calibri" w:cs="Calibri"/>
          <w:color w:val="000000" w:themeColor="text1"/>
          <w:sz w:val="22"/>
          <w:szCs w:val="22"/>
        </w:rPr>
        <w:t>present</w:t>
      </w:r>
      <w:proofErr w:type="gramEnd"/>
      <w:r w:rsidRPr="003F12D8">
        <w:rPr>
          <w:rFonts w:ascii="Calibri" w:hAnsi="Calibri" w:cs="Calibri"/>
          <w:color w:val="000000" w:themeColor="text1"/>
          <w:sz w:val="22"/>
          <w:szCs w:val="22"/>
        </w:rPr>
        <w:t xml:space="preserve"> they usually include pain with or without discharge and bleeding. </w:t>
      </w:r>
    </w:p>
    <w:p w14:paraId="71139E05" w14:textId="2BFC2795" w:rsidR="00E36B0B" w:rsidRPr="003F12D8" w:rsidRDefault="00E36B0B" w:rsidP="00E36B0B">
      <w:pPr>
        <w:pStyle w:val="ListParagraph"/>
        <w:numPr>
          <w:ilvl w:val="0"/>
          <w:numId w:val="6"/>
        </w:numPr>
        <w:rPr>
          <w:rFonts w:ascii="Calibri" w:hAnsi="Calibri" w:cs="Calibri"/>
          <w:color w:val="000000" w:themeColor="text1"/>
          <w:lang w:val="en-GB"/>
        </w:rPr>
      </w:pPr>
      <w:r w:rsidRPr="003F12D8">
        <w:rPr>
          <w:rFonts w:ascii="Calibri" w:hAnsi="Calibri" w:cs="Calibri"/>
          <w:color w:val="000000" w:themeColor="text1"/>
          <w:sz w:val="22"/>
          <w:szCs w:val="22"/>
        </w:rPr>
        <w:t xml:space="preserve">Tenesmus – a sensation of constantly needing to pass stool – may also be present. </w:t>
      </w:r>
    </w:p>
    <w:p w14:paraId="03874916" w14:textId="40648C8A" w:rsidR="00806466" w:rsidRPr="003F12D8" w:rsidRDefault="00806466" w:rsidP="00806466">
      <w:pPr>
        <w:pStyle w:val="ListParagraph"/>
        <w:numPr>
          <w:ilvl w:val="0"/>
          <w:numId w:val="6"/>
        </w:numPr>
        <w:rPr>
          <w:rFonts w:ascii="Calibri" w:hAnsi="Calibri" w:cs="Calibri"/>
          <w:color w:val="000000" w:themeColor="text1"/>
          <w:lang w:val="en-GB"/>
        </w:rPr>
      </w:pPr>
      <w:r w:rsidRPr="003F12D8">
        <w:rPr>
          <w:rFonts w:ascii="Calibri" w:hAnsi="Calibri" w:cs="Calibri"/>
          <w:color w:val="000000" w:themeColor="text1"/>
          <w:sz w:val="22"/>
          <w:szCs w:val="22"/>
        </w:rPr>
        <w:t>While painful perianal ulcers can be indicative of HSV, HSV proctitis is often not associated with the presence of visible ulcers.</w:t>
      </w:r>
    </w:p>
    <w:p w14:paraId="6E28F8CB" w14:textId="25B5E933" w:rsidR="00E36B0B" w:rsidRPr="003F12D8" w:rsidRDefault="00E36B0B" w:rsidP="00E36B0B">
      <w:pPr>
        <w:pStyle w:val="Heading1"/>
        <w:rPr>
          <w:rFonts w:ascii="Calibri" w:hAnsi="Calibri" w:cs="Calibri"/>
          <w:color w:val="000000" w:themeColor="text1"/>
          <w:lang w:val="fr-FR"/>
        </w:rPr>
      </w:pPr>
      <w:proofErr w:type="spellStart"/>
      <w:r w:rsidRPr="003F12D8">
        <w:rPr>
          <w:rFonts w:ascii="Calibri" w:hAnsi="Calibri" w:cs="Calibri"/>
          <w:color w:val="000000" w:themeColor="text1"/>
          <w:lang w:val="fr-FR"/>
        </w:rPr>
        <w:t>Diagnosis</w:t>
      </w:r>
      <w:proofErr w:type="spellEnd"/>
    </w:p>
    <w:p w14:paraId="75972CF5" w14:textId="77777777" w:rsidR="003C2CFE" w:rsidRPr="003F12D8" w:rsidRDefault="003C2CFE" w:rsidP="003C2CFE">
      <w:pPr>
        <w:pStyle w:val="ListParagraph"/>
        <w:numPr>
          <w:ilvl w:val="0"/>
          <w:numId w:val="7"/>
        </w:numPr>
        <w:rPr>
          <w:rFonts w:ascii="Calibri" w:hAnsi="Calibri" w:cs="Calibri"/>
          <w:color w:val="000000" w:themeColor="text1"/>
          <w:lang w:val="en-GB"/>
        </w:rPr>
      </w:pPr>
      <w:r w:rsidRPr="003F12D8">
        <w:rPr>
          <w:rFonts w:ascii="Calibri" w:hAnsi="Calibri" w:cs="Calibri"/>
          <w:color w:val="000000" w:themeColor="text1"/>
          <w:sz w:val="22"/>
          <w:szCs w:val="22"/>
        </w:rPr>
        <w:t xml:space="preserve">Proctitis is a clinical syndrome and diagnosis is made where there are suggestive features on history and examination. </w:t>
      </w:r>
    </w:p>
    <w:p w14:paraId="2958707B" w14:textId="77777777" w:rsidR="003F12D8" w:rsidRPr="003F12D8" w:rsidRDefault="003C2CFE" w:rsidP="003C2CFE">
      <w:pPr>
        <w:pStyle w:val="ListParagraph"/>
        <w:numPr>
          <w:ilvl w:val="0"/>
          <w:numId w:val="7"/>
        </w:numPr>
        <w:rPr>
          <w:rFonts w:ascii="Calibri" w:hAnsi="Calibri" w:cs="Calibri"/>
          <w:color w:val="000000" w:themeColor="text1"/>
          <w:lang w:val="en-GB"/>
        </w:rPr>
      </w:pPr>
      <w:r w:rsidRPr="003F12D8">
        <w:rPr>
          <w:rFonts w:ascii="Calibri" w:hAnsi="Calibri" w:cs="Calibri"/>
          <w:color w:val="000000" w:themeColor="text1"/>
          <w:sz w:val="22"/>
          <w:szCs w:val="22"/>
        </w:rPr>
        <w:t xml:space="preserve">Proctoscopy may be a useful adjunct to the clinical examination and may show mucosal inflammation and discharge. </w:t>
      </w:r>
    </w:p>
    <w:p w14:paraId="5071F896" w14:textId="6B707CCC" w:rsidR="003C2CFE" w:rsidRPr="003F12D8" w:rsidRDefault="003F12D8" w:rsidP="003F12D8">
      <w:pPr>
        <w:pStyle w:val="ListParagraph"/>
        <w:numPr>
          <w:ilvl w:val="1"/>
          <w:numId w:val="7"/>
        </w:numPr>
        <w:rPr>
          <w:rFonts w:ascii="Calibri" w:hAnsi="Calibri" w:cs="Calibri"/>
          <w:color w:val="000000" w:themeColor="text1"/>
          <w:lang w:val="en-GB"/>
        </w:rPr>
      </w:pPr>
      <w:r>
        <w:rPr>
          <w:rFonts w:ascii="Calibri" w:hAnsi="Calibri" w:cs="Calibri"/>
          <w:color w:val="000000" w:themeColor="text1"/>
          <w:sz w:val="22"/>
          <w:szCs w:val="22"/>
        </w:rPr>
        <w:t>P</w:t>
      </w:r>
      <w:r w:rsidR="003C2CFE" w:rsidRPr="003F12D8">
        <w:rPr>
          <w:rFonts w:ascii="Calibri" w:hAnsi="Calibri" w:cs="Calibri"/>
          <w:color w:val="000000" w:themeColor="text1"/>
          <w:sz w:val="22"/>
          <w:szCs w:val="22"/>
        </w:rPr>
        <w:t xml:space="preserve">roctoscopy should not be performed when examination is uncomfortable due to the presence of tender ulcers. </w:t>
      </w:r>
    </w:p>
    <w:p w14:paraId="4EC01BF3" w14:textId="4E4860D4" w:rsidR="003C2CFE" w:rsidRPr="003F12D8" w:rsidRDefault="003C2CFE" w:rsidP="003C2CFE">
      <w:pPr>
        <w:pStyle w:val="ListParagraph"/>
        <w:numPr>
          <w:ilvl w:val="0"/>
          <w:numId w:val="7"/>
        </w:numPr>
        <w:rPr>
          <w:rFonts w:ascii="Calibri" w:hAnsi="Calibri" w:cs="Calibri"/>
          <w:color w:val="000000" w:themeColor="text1"/>
          <w:lang w:val="en-GB"/>
        </w:rPr>
      </w:pPr>
      <w:r w:rsidRPr="003F12D8">
        <w:rPr>
          <w:rFonts w:ascii="Calibri" w:hAnsi="Calibri" w:cs="Calibri"/>
          <w:color w:val="000000" w:themeColor="text1"/>
          <w:sz w:val="22"/>
          <w:szCs w:val="22"/>
        </w:rPr>
        <w:t>Laboratory testing is always required to determine the infective agent.</w:t>
      </w:r>
    </w:p>
    <w:p w14:paraId="49B7775D" w14:textId="4D7C4C30" w:rsidR="003C2CFE" w:rsidRPr="003F12D8" w:rsidRDefault="003C2CFE" w:rsidP="003C2CFE">
      <w:pPr>
        <w:rPr>
          <w:rFonts w:ascii="Calibri" w:hAnsi="Calibri" w:cs="Calibri"/>
          <w:lang w:val="en-GB"/>
        </w:rPr>
      </w:pPr>
    </w:p>
    <w:tbl>
      <w:tblPr>
        <w:tblW w:w="4847"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2552"/>
        <w:gridCol w:w="5077"/>
      </w:tblGrid>
      <w:tr w:rsidR="003C2CFE" w:rsidRPr="003F12D8" w14:paraId="0BC92513" w14:textId="77777777" w:rsidTr="00DF2D1E">
        <w:trPr>
          <w:trHeight w:val="221"/>
        </w:trPr>
        <w:tc>
          <w:tcPr>
            <w:tcW w:w="973" w:type="pct"/>
            <w:tcBorders>
              <w:top w:val="single" w:sz="4" w:space="0" w:color="auto"/>
              <w:left w:val="single" w:sz="4" w:space="0" w:color="auto"/>
              <w:bottom w:val="single" w:sz="8" w:space="0" w:color="000000"/>
              <w:right w:val="single" w:sz="4" w:space="0" w:color="auto"/>
            </w:tcBorders>
            <w:shd w:val="clear" w:color="auto" w:fill="808080"/>
          </w:tcPr>
          <w:p w14:paraId="55496F0C" w14:textId="77777777" w:rsidR="003C2CFE" w:rsidRPr="003F12D8" w:rsidRDefault="003C2CFE" w:rsidP="009C0564">
            <w:pPr>
              <w:ind w:hanging="2"/>
              <w:jc w:val="center"/>
              <w:rPr>
                <w:rFonts w:ascii="Calibri" w:hAnsi="Calibri" w:cs="Calibri"/>
                <w:b/>
                <w:bCs/>
                <w:color w:val="FFFFFF" w:themeColor="background1"/>
              </w:rPr>
            </w:pPr>
            <w:r w:rsidRPr="003F12D8">
              <w:rPr>
                <w:rFonts w:ascii="Calibri" w:hAnsi="Calibri" w:cs="Calibri"/>
                <w:b/>
                <w:bCs/>
                <w:color w:val="FFFFFF" w:themeColor="background1"/>
              </w:rPr>
              <w:t>Test</w:t>
            </w:r>
          </w:p>
        </w:tc>
        <w:tc>
          <w:tcPr>
            <w:tcW w:w="1347" w:type="pct"/>
            <w:tcBorders>
              <w:top w:val="single" w:sz="4" w:space="0" w:color="auto"/>
              <w:left w:val="single" w:sz="4" w:space="0" w:color="auto"/>
              <w:bottom w:val="single" w:sz="8" w:space="0" w:color="000000"/>
              <w:right w:val="single" w:sz="4" w:space="0" w:color="auto"/>
            </w:tcBorders>
            <w:shd w:val="clear" w:color="auto" w:fill="808080"/>
          </w:tcPr>
          <w:p w14:paraId="7D35F659" w14:textId="77777777" w:rsidR="003C2CFE" w:rsidRPr="003F12D8" w:rsidRDefault="003C2CFE" w:rsidP="009C0564">
            <w:pPr>
              <w:ind w:hanging="2"/>
              <w:jc w:val="center"/>
              <w:rPr>
                <w:rFonts w:ascii="Calibri" w:hAnsi="Calibri" w:cs="Calibri"/>
                <w:b/>
                <w:color w:val="FFFFFF" w:themeColor="background1"/>
              </w:rPr>
            </w:pPr>
            <w:r w:rsidRPr="003F12D8">
              <w:rPr>
                <w:rFonts w:ascii="Calibri" w:hAnsi="Calibri" w:cs="Calibri"/>
                <w:b/>
                <w:color w:val="FFFFFF" w:themeColor="background1"/>
              </w:rPr>
              <w:t>Site/Specimen</w:t>
            </w:r>
          </w:p>
        </w:tc>
        <w:tc>
          <w:tcPr>
            <w:tcW w:w="2680" w:type="pct"/>
            <w:tcBorders>
              <w:top w:val="single" w:sz="4" w:space="0" w:color="auto"/>
              <w:left w:val="single" w:sz="4" w:space="0" w:color="auto"/>
              <w:bottom w:val="single" w:sz="8" w:space="0" w:color="000000"/>
              <w:right w:val="single" w:sz="4" w:space="0" w:color="auto"/>
            </w:tcBorders>
            <w:shd w:val="clear" w:color="auto" w:fill="808080"/>
          </w:tcPr>
          <w:p w14:paraId="1A38B01E" w14:textId="0C6F44CC" w:rsidR="003C2CFE" w:rsidRPr="003F12D8" w:rsidRDefault="003F12D8" w:rsidP="009C0564">
            <w:pPr>
              <w:ind w:hanging="2"/>
              <w:jc w:val="center"/>
              <w:rPr>
                <w:rFonts w:ascii="Calibri" w:hAnsi="Calibri" w:cs="Calibri"/>
                <w:b/>
                <w:color w:val="FFFFFF" w:themeColor="background1"/>
              </w:rPr>
            </w:pPr>
            <w:r w:rsidRPr="003F12D8">
              <w:rPr>
                <w:rFonts w:ascii="Calibri" w:hAnsi="Calibri" w:cs="Calibri"/>
                <w:b/>
                <w:color w:val="FFFFFF" w:themeColor="background1"/>
              </w:rPr>
              <w:t>Comments</w:t>
            </w:r>
          </w:p>
        </w:tc>
      </w:tr>
      <w:tr w:rsidR="003C2CFE" w:rsidRPr="003F12D8" w14:paraId="6770B096" w14:textId="77777777" w:rsidTr="00DF2D1E">
        <w:trPr>
          <w:trHeight w:val="456"/>
        </w:trPr>
        <w:tc>
          <w:tcPr>
            <w:tcW w:w="973" w:type="pct"/>
            <w:tcBorders>
              <w:top w:val="single" w:sz="4" w:space="0" w:color="auto"/>
              <w:left w:val="single" w:sz="4" w:space="0" w:color="auto"/>
              <w:bottom w:val="single" w:sz="4" w:space="0" w:color="auto"/>
              <w:right w:val="single" w:sz="4" w:space="0" w:color="auto"/>
            </w:tcBorders>
          </w:tcPr>
          <w:p w14:paraId="3EA009E4" w14:textId="77777777" w:rsidR="003C2CFE" w:rsidRPr="003F12D8" w:rsidRDefault="003C2CFE" w:rsidP="009C0564">
            <w:pPr>
              <w:ind w:hanging="2"/>
              <w:rPr>
                <w:rFonts w:ascii="Calibri" w:hAnsi="Calibri" w:cs="Calibri"/>
                <w:bCs/>
              </w:rPr>
            </w:pPr>
            <w:r w:rsidRPr="003F12D8">
              <w:rPr>
                <w:rFonts w:ascii="Calibri" w:hAnsi="Calibri" w:cs="Calibri"/>
                <w:bCs/>
              </w:rPr>
              <w:t>NAAT</w:t>
            </w:r>
          </w:p>
        </w:tc>
        <w:tc>
          <w:tcPr>
            <w:tcW w:w="1347" w:type="pct"/>
            <w:tcBorders>
              <w:top w:val="single" w:sz="4" w:space="0" w:color="auto"/>
              <w:left w:val="single" w:sz="4" w:space="0" w:color="auto"/>
              <w:bottom w:val="single" w:sz="4" w:space="0" w:color="auto"/>
              <w:right w:val="single" w:sz="4" w:space="0" w:color="auto"/>
            </w:tcBorders>
          </w:tcPr>
          <w:p w14:paraId="1CA84E51" w14:textId="72D78148" w:rsidR="003C2CFE" w:rsidRPr="003F12D8" w:rsidRDefault="003C2CFE" w:rsidP="009C0564">
            <w:pPr>
              <w:ind w:hanging="2"/>
              <w:rPr>
                <w:rFonts w:ascii="Calibri" w:hAnsi="Calibri" w:cs="Calibri"/>
              </w:rPr>
            </w:pPr>
            <w:r w:rsidRPr="003F12D8">
              <w:rPr>
                <w:rFonts w:ascii="Calibri" w:hAnsi="Calibri" w:cs="Calibri"/>
              </w:rPr>
              <w:t xml:space="preserve">Anorectal swab </w:t>
            </w:r>
          </w:p>
        </w:tc>
        <w:tc>
          <w:tcPr>
            <w:tcW w:w="2680" w:type="pct"/>
            <w:tcBorders>
              <w:top w:val="single" w:sz="4" w:space="0" w:color="auto"/>
              <w:left w:val="single" w:sz="4" w:space="0" w:color="auto"/>
              <w:bottom w:val="single" w:sz="4" w:space="0" w:color="auto"/>
              <w:right w:val="single" w:sz="4" w:space="0" w:color="auto"/>
            </w:tcBorders>
          </w:tcPr>
          <w:p w14:paraId="01A320D1" w14:textId="22FBC91A" w:rsidR="004346C2" w:rsidRPr="003F12D8" w:rsidRDefault="003C2CFE" w:rsidP="003C2CFE">
            <w:pPr>
              <w:ind w:hanging="2"/>
              <w:rPr>
                <w:rFonts w:ascii="Calibri" w:hAnsi="Calibri" w:cs="Calibri"/>
                <w:color w:val="000000" w:themeColor="text1"/>
              </w:rPr>
            </w:pPr>
            <w:r w:rsidRPr="003F12D8">
              <w:rPr>
                <w:rFonts w:ascii="Calibri" w:hAnsi="Calibri" w:cs="Calibri"/>
                <w:color w:val="000000" w:themeColor="text1"/>
              </w:rPr>
              <w:t xml:space="preserve">For </w:t>
            </w:r>
            <w:r w:rsidRPr="003F12D8">
              <w:rPr>
                <w:rFonts w:ascii="Calibri" w:hAnsi="Calibri" w:cs="Calibri"/>
                <w:i/>
                <w:iCs/>
                <w:color w:val="000000" w:themeColor="text1"/>
              </w:rPr>
              <w:t>N. gonorrhoea, C. trachomatis</w:t>
            </w:r>
            <w:r w:rsidRPr="003F12D8">
              <w:rPr>
                <w:rFonts w:ascii="Calibri" w:hAnsi="Calibri" w:cs="Calibri"/>
                <w:color w:val="000000" w:themeColor="text1"/>
              </w:rPr>
              <w:t xml:space="preserve"> (</w:t>
            </w:r>
            <w:r w:rsidR="004346C2" w:rsidRPr="003F12D8">
              <w:rPr>
                <w:rFonts w:ascii="Calibri" w:hAnsi="Calibri" w:cs="Calibri"/>
                <w:color w:val="000000" w:themeColor="text1"/>
              </w:rPr>
              <w:t xml:space="preserve">order genotype test for </w:t>
            </w:r>
            <w:r w:rsidR="003F12D8">
              <w:rPr>
                <w:rFonts w:ascii="Calibri" w:hAnsi="Calibri" w:cs="Calibri"/>
                <w:color w:val="000000" w:themeColor="text1"/>
              </w:rPr>
              <w:t>LGV</w:t>
            </w:r>
            <w:r w:rsidR="004346C2" w:rsidRPr="003F12D8">
              <w:rPr>
                <w:rFonts w:ascii="Calibri" w:hAnsi="Calibri" w:cs="Calibri"/>
                <w:color w:val="000000" w:themeColor="text1"/>
              </w:rPr>
              <w:t>)</w:t>
            </w:r>
            <w:r w:rsidR="003F12D8">
              <w:rPr>
                <w:rFonts w:ascii="Calibri" w:hAnsi="Calibri" w:cs="Calibri"/>
                <w:color w:val="000000" w:themeColor="text1"/>
              </w:rPr>
              <w:t>; a</w:t>
            </w:r>
            <w:r w:rsidR="00281B86" w:rsidRPr="003F12D8">
              <w:rPr>
                <w:rFonts w:ascii="Calibri" w:hAnsi="Calibri" w:cs="Calibri"/>
                <w:color w:val="000000" w:themeColor="text1"/>
              </w:rPr>
              <w:t xml:space="preserve"> positive chlamydia result alone will not distinguish between LGV and non-LGV chlamydia.</w:t>
            </w:r>
          </w:p>
          <w:p w14:paraId="6AC9EF3B" w14:textId="77777777" w:rsidR="00281B86" w:rsidRPr="003F12D8" w:rsidRDefault="00281B86" w:rsidP="003C2CFE">
            <w:pPr>
              <w:ind w:hanging="2"/>
              <w:rPr>
                <w:rFonts w:ascii="Calibri" w:hAnsi="Calibri" w:cs="Calibri"/>
                <w:color w:val="000000" w:themeColor="text1"/>
              </w:rPr>
            </w:pPr>
          </w:p>
          <w:p w14:paraId="3B09F8DA" w14:textId="21AFB475" w:rsidR="004346C2" w:rsidRDefault="004346C2" w:rsidP="003C2CFE">
            <w:pPr>
              <w:ind w:hanging="2"/>
              <w:rPr>
                <w:rFonts w:ascii="Calibri" w:hAnsi="Calibri" w:cs="Calibri"/>
                <w:color w:val="000000" w:themeColor="text1"/>
              </w:rPr>
            </w:pPr>
            <w:r w:rsidRPr="003F12D8">
              <w:rPr>
                <w:rFonts w:ascii="Calibri" w:hAnsi="Calibri" w:cs="Calibri"/>
                <w:color w:val="000000" w:themeColor="text1"/>
              </w:rPr>
              <w:lastRenderedPageBreak/>
              <w:t xml:space="preserve">Order HSV PCR even </w:t>
            </w:r>
            <w:r w:rsidR="003F12D8">
              <w:rPr>
                <w:rFonts w:ascii="Calibri" w:hAnsi="Calibri" w:cs="Calibri"/>
                <w:color w:val="000000" w:themeColor="text1"/>
              </w:rPr>
              <w:t>in</w:t>
            </w:r>
            <w:r w:rsidRPr="003F12D8">
              <w:rPr>
                <w:rFonts w:ascii="Calibri" w:hAnsi="Calibri" w:cs="Calibri"/>
                <w:color w:val="000000" w:themeColor="text1"/>
              </w:rPr>
              <w:t xml:space="preserve"> the absence of any visible external ulceration.</w:t>
            </w:r>
          </w:p>
          <w:p w14:paraId="6CAAA645" w14:textId="77777777" w:rsidR="003F12D8" w:rsidRPr="003F12D8" w:rsidRDefault="003F12D8" w:rsidP="003C2CFE">
            <w:pPr>
              <w:ind w:hanging="2"/>
              <w:rPr>
                <w:rFonts w:ascii="Calibri" w:hAnsi="Calibri" w:cs="Calibri"/>
                <w:color w:val="000000" w:themeColor="text1"/>
              </w:rPr>
            </w:pPr>
          </w:p>
          <w:p w14:paraId="33877869" w14:textId="77777777" w:rsidR="003C2CFE" w:rsidRPr="003F12D8" w:rsidRDefault="004346C2" w:rsidP="003C2CFE">
            <w:pPr>
              <w:ind w:hanging="2"/>
              <w:rPr>
                <w:rFonts w:ascii="Calibri" w:hAnsi="Calibri" w:cs="Calibri"/>
                <w:color w:val="000000" w:themeColor="text1"/>
              </w:rPr>
            </w:pPr>
            <w:r w:rsidRPr="003F12D8">
              <w:rPr>
                <w:rFonts w:ascii="Calibri" w:hAnsi="Calibri" w:cs="Calibri"/>
                <w:color w:val="000000" w:themeColor="text1"/>
              </w:rPr>
              <w:t>Consider syphilis PCR, especially when proctitis is associated with ulceration</w:t>
            </w:r>
          </w:p>
          <w:p w14:paraId="2F554003" w14:textId="77777777" w:rsidR="00F946D5" w:rsidRPr="003F12D8" w:rsidRDefault="00F946D5" w:rsidP="003C2CFE">
            <w:pPr>
              <w:ind w:hanging="2"/>
              <w:rPr>
                <w:rFonts w:ascii="Calibri" w:hAnsi="Calibri" w:cs="Calibri"/>
                <w:i/>
                <w:iCs/>
                <w:color w:val="000000" w:themeColor="text1"/>
              </w:rPr>
            </w:pPr>
          </w:p>
          <w:p w14:paraId="16FC485C" w14:textId="69B9A6FD" w:rsidR="00F946D5" w:rsidRPr="003F12D8" w:rsidRDefault="00F946D5" w:rsidP="00F946D5">
            <w:pPr>
              <w:pStyle w:val="NormalWeb"/>
              <w:shd w:val="clear" w:color="auto" w:fill="FFFFFF"/>
              <w:spacing w:before="0" w:beforeAutospacing="0" w:after="270" w:afterAutospacing="0"/>
              <w:textAlignment w:val="baseline"/>
              <w:rPr>
                <w:rFonts w:ascii="Calibri" w:hAnsi="Calibri" w:cs="Calibri"/>
                <w:color w:val="000000"/>
                <w:sz w:val="26"/>
                <w:szCs w:val="26"/>
              </w:rPr>
            </w:pPr>
            <w:r w:rsidRPr="003F12D8">
              <w:rPr>
                <w:rFonts w:ascii="Calibri" w:hAnsi="Calibri" w:cs="Calibri"/>
                <w:color w:val="000000" w:themeColor="text1"/>
                <w:sz w:val="24"/>
                <w:szCs w:val="24"/>
              </w:rPr>
              <w:t>If symptoms of proctitis persist following treatment, and tests for other STIs are negative</w:t>
            </w:r>
            <w:r w:rsidR="003F12D8">
              <w:rPr>
                <w:rFonts w:ascii="Calibri" w:hAnsi="Calibri" w:cs="Calibri"/>
                <w:color w:val="000000" w:themeColor="text1"/>
                <w:sz w:val="24"/>
                <w:szCs w:val="24"/>
              </w:rPr>
              <w:t>,</w:t>
            </w:r>
            <w:r w:rsidRPr="003F12D8">
              <w:rPr>
                <w:rFonts w:ascii="Calibri" w:hAnsi="Calibri" w:cs="Calibri"/>
                <w:color w:val="000000" w:themeColor="text1"/>
                <w:sz w:val="24"/>
                <w:szCs w:val="24"/>
              </w:rPr>
              <w:t xml:space="preserve"> then testing for </w:t>
            </w:r>
            <w:r w:rsidRPr="003F12D8">
              <w:rPr>
                <w:rFonts w:ascii="Calibri" w:hAnsi="Calibri" w:cs="Calibri"/>
                <w:i/>
                <w:color w:val="000000" w:themeColor="text1"/>
                <w:sz w:val="24"/>
                <w:szCs w:val="24"/>
              </w:rPr>
              <w:t>M. genitalium</w:t>
            </w:r>
            <w:r w:rsidRPr="003F12D8">
              <w:rPr>
                <w:rFonts w:ascii="Calibri" w:hAnsi="Calibri" w:cs="Calibri"/>
                <w:color w:val="000000" w:themeColor="text1"/>
                <w:sz w:val="24"/>
                <w:szCs w:val="24"/>
              </w:rPr>
              <w:t xml:space="preserve"> and macrolide-resistance (PCR) may be indicated</w:t>
            </w:r>
            <w:r w:rsidRPr="003F12D8">
              <w:rPr>
                <w:rFonts w:ascii="Calibri" w:hAnsi="Calibri" w:cs="Calibri"/>
                <w:color w:val="000000"/>
                <w:sz w:val="26"/>
                <w:szCs w:val="26"/>
              </w:rPr>
              <w:t xml:space="preserve">. </w:t>
            </w:r>
          </w:p>
        </w:tc>
      </w:tr>
      <w:tr w:rsidR="003C2CFE" w:rsidRPr="003F12D8" w14:paraId="3FF11ACD" w14:textId="77777777" w:rsidTr="00DF2D1E">
        <w:trPr>
          <w:trHeight w:val="455"/>
        </w:trPr>
        <w:tc>
          <w:tcPr>
            <w:tcW w:w="973" w:type="pct"/>
            <w:tcBorders>
              <w:top w:val="single" w:sz="8" w:space="0" w:color="000000"/>
              <w:left w:val="single" w:sz="8" w:space="0" w:color="000000"/>
              <w:bottom w:val="single" w:sz="8" w:space="0" w:color="000000"/>
              <w:right w:val="single" w:sz="4" w:space="0" w:color="auto"/>
            </w:tcBorders>
          </w:tcPr>
          <w:p w14:paraId="6933490D" w14:textId="124836EB" w:rsidR="003C2CFE" w:rsidRPr="003F12D8" w:rsidRDefault="003C2CFE" w:rsidP="009C0564">
            <w:pPr>
              <w:ind w:hanging="2"/>
              <w:rPr>
                <w:rFonts w:ascii="Calibri" w:hAnsi="Calibri" w:cs="Calibri"/>
                <w:bCs/>
              </w:rPr>
            </w:pPr>
            <w:r w:rsidRPr="003F12D8">
              <w:rPr>
                <w:rFonts w:ascii="Calibri" w:hAnsi="Calibri" w:cs="Calibri"/>
                <w:bCs/>
              </w:rPr>
              <w:lastRenderedPageBreak/>
              <w:t>Culture</w:t>
            </w:r>
            <w:r w:rsidR="00F946D5" w:rsidRPr="003F12D8">
              <w:rPr>
                <w:rFonts w:ascii="Calibri" w:hAnsi="Calibri" w:cs="Calibri"/>
                <w:bCs/>
              </w:rPr>
              <w:t xml:space="preserve"> </w:t>
            </w:r>
          </w:p>
        </w:tc>
        <w:tc>
          <w:tcPr>
            <w:tcW w:w="1347" w:type="pct"/>
            <w:tcBorders>
              <w:top w:val="single" w:sz="8" w:space="0" w:color="000000"/>
              <w:left w:val="single" w:sz="4" w:space="0" w:color="auto"/>
              <w:bottom w:val="single" w:sz="8" w:space="0" w:color="000000"/>
              <w:right w:val="single" w:sz="4" w:space="0" w:color="auto"/>
            </w:tcBorders>
          </w:tcPr>
          <w:p w14:paraId="6F865A67" w14:textId="31C01E1C" w:rsidR="003C2CFE" w:rsidRPr="003F12D8" w:rsidRDefault="003C2CFE" w:rsidP="009C0564">
            <w:pPr>
              <w:ind w:hanging="2"/>
              <w:rPr>
                <w:rFonts w:ascii="Calibri" w:hAnsi="Calibri" w:cs="Calibri"/>
              </w:rPr>
            </w:pPr>
            <w:r w:rsidRPr="003F12D8">
              <w:rPr>
                <w:rFonts w:ascii="Calibri" w:hAnsi="Calibri" w:cs="Calibri"/>
              </w:rPr>
              <w:t>Anorectal swab</w:t>
            </w:r>
          </w:p>
        </w:tc>
        <w:tc>
          <w:tcPr>
            <w:tcW w:w="2680" w:type="pct"/>
            <w:tcBorders>
              <w:top w:val="single" w:sz="8" w:space="0" w:color="000000"/>
              <w:left w:val="single" w:sz="4" w:space="0" w:color="auto"/>
              <w:bottom w:val="single" w:sz="8" w:space="0" w:color="000000"/>
              <w:right w:val="single" w:sz="8" w:space="0" w:color="000000"/>
            </w:tcBorders>
          </w:tcPr>
          <w:p w14:paraId="0F66B60A" w14:textId="2C56A342" w:rsidR="003C2CFE" w:rsidRPr="003F12D8" w:rsidRDefault="003F12D8" w:rsidP="009C0564">
            <w:pPr>
              <w:ind w:hanging="2"/>
              <w:rPr>
                <w:rFonts w:ascii="Calibri" w:hAnsi="Calibri" w:cs="Calibri"/>
              </w:rPr>
            </w:pPr>
            <w:r w:rsidRPr="003F12D8">
              <w:rPr>
                <w:rFonts w:ascii="Calibri" w:hAnsi="Calibri" w:cs="Calibri"/>
                <w:color w:val="000000" w:themeColor="text1"/>
              </w:rPr>
              <w:t xml:space="preserve">For </w:t>
            </w:r>
            <w:r w:rsidRPr="003F12D8">
              <w:rPr>
                <w:rFonts w:ascii="Calibri" w:hAnsi="Calibri" w:cs="Calibri"/>
                <w:i/>
                <w:iCs/>
                <w:color w:val="000000" w:themeColor="text1"/>
              </w:rPr>
              <w:t>N. gonorrhoea</w:t>
            </w:r>
            <w:r w:rsidRPr="003F12D8">
              <w:rPr>
                <w:rFonts w:ascii="Calibri" w:hAnsi="Calibri" w:cs="Calibri"/>
              </w:rPr>
              <w:t xml:space="preserve"> </w:t>
            </w:r>
            <w:r>
              <w:rPr>
                <w:rFonts w:ascii="Calibri" w:hAnsi="Calibri" w:cs="Calibri"/>
              </w:rPr>
              <w:t>i</w:t>
            </w:r>
            <w:r w:rsidR="003C2CFE" w:rsidRPr="003F12D8">
              <w:rPr>
                <w:rFonts w:ascii="Calibri" w:hAnsi="Calibri" w:cs="Calibri"/>
              </w:rPr>
              <w:t>f rectal discharge is present</w:t>
            </w:r>
          </w:p>
          <w:p w14:paraId="72624B56" w14:textId="77777777" w:rsidR="003C2CFE" w:rsidRPr="003F12D8" w:rsidRDefault="003C2CFE" w:rsidP="009C0564">
            <w:pPr>
              <w:ind w:hanging="2"/>
              <w:rPr>
                <w:rFonts w:ascii="Calibri" w:hAnsi="Calibri" w:cs="Calibri"/>
              </w:rPr>
            </w:pPr>
          </w:p>
        </w:tc>
      </w:tr>
      <w:tr w:rsidR="003C2CFE" w:rsidRPr="003F12D8" w14:paraId="2E42BF75" w14:textId="77777777" w:rsidTr="00DF2D1E">
        <w:trPr>
          <w:trHeight w:val="456"/>
        </w:trPr>
        <w:tc>
          <w:tcPr>
            <w:tcW w:w="973" w:type="pct"/>
            <w:tcBorders>
              <w:top w:val="single" w:sz="4" w:space="0" w:color="auto"/>
              <w:left w:val="single" w:sz="4" w:space="0" w:color="auto"/>
              <w:bottom w:val="single" w:sz="4" w:space="0" w:color="auto"/>
              <w:right w:val="single" w:sz="4" w:space="0" w:color="auto"/>
            </w:tcBorders>
          </w:tcPr>
          <w:p w14:paraId="1F9E0E5B" w14:textId="47E22D88" w:rsidR="003C2CFE" w:rsidRPr="003F12D8" w:rsidRDefault="00281B86" w:rsidP="009C0564">
            <w:pPr>
              <w:ind w:hanging="2"/>
              <w:rPr>
                <w:rFonts w:ascii="Calibri" w:hAnsi="Calibri" w:cs="Calibri"/>
                <w:bCs/>
              </w:rPr>
            </w:pPr>
            <w:r w:rsidRPr="003F12D8">
              <w:rPr>
                <w:rFonts w:ascii="Calibri" w:hAnsi="Calibri" w:cs="Calibri"/>
                <w:bCs/>
              </w:rPr>
              <w:t>Serology</w:t>
            </w:r>
          </w:p>
        </w:tc>
        <w:tc>
          <w:tcPr>
            <w:tcW w:w="1347" w:type="pct"/>
            <w:tcBorders>
              <w:top w:val="single" w:sz="4" w:space="0" w:color="auto"/>
              <w:left w:val="single" w:sz="4" w:space="0" w:color="auto"/>
              <w:bottom w:val="single" w:sz="4" w:space="0" w:color="auto"/>
              <w:right w:val="single" w:sz="4" w:space="0" w:color="auto"/>
            </w:tcBorders>
          </w:tcPr>
          <w:p w14:paraId="0D997168" w14:textId="7CA7BA00" w:rsidR="003C2CFE" w:rsidRPr="003F12D8" w:rsidRDefault="00281B86" w:rsidP="009C0564">
            <w:pPr>
              <w:ind w:hanging="2"/>
              <w:rPr>
                <w:rFonts w:ascii="Calibri" w:hAnsi="Calibri" w:cs="Calibri"/>
              </w:rPr>
            </w:pPr>
            <w:r w:rsidRPr="003F12D8">
              <w:rPr>
                <w:rFonts w:ascii="Calibri" w:hAnsi="Calibri" w:cs="Calibri"/>
              </w:rPr>
              <w:t>Blood</w:t>
            </w:r>
          </w:p>
        </w:tc>
        <w:tc>
          <w:tcPr>
            <w:tcW w:w="2680" w:type="pct"/>
            <w:tcBorders>
              <w:top w:val="single" w:sz="4" w:space="0" w:color="auto"/>
              <w:left w:val="single" w:sz="4" w:space="0" w:color="auto"/>
              <w:bottom w:val="single" w:sz="4" w:space="0" w:color="auto"/>
              <w:right w:val="single" w:sz="4" w:space="0" w:color="auto"/>
            </w:tcBorders>
          </w:tcPr>
          <w:p w14:paraId="6F83CC55" w14:textId="0D45E3A9" w:rsidR="003C2CFE" w:rsidRPr="00A72C3A" w:rsidRDefault="00A72C3A" w:rsidP="00A72C3A">
            <w:pPr>
              <w:ind w:hanging="2"/>
              <w:rPr>
                <w:rFonts w:ascii="Calibri" w:hAnsi="Calibri" w:cs="Calibri"/>
                <w:color w:val="000000" w:themeColor="text1"/>
              </w:rPr>
            </w:pPr>
            <w:r>
              <w:rPr>
                <w:rFonts w:ascii="Calibri" w:hAnsi="Calibri" w:cs="Calibri"/>
                <w:color w:val="000000" w:themeColor="text1"/>
              </w:rPr>
              <w:t xml:space="preserve">For </w:t>
            </w:r>
            <w:r w:rsidR="00281B86" w:rsidRPr="00A72C3A">
              <w:rPr>
                <w:rFonts w:ascii="Calibri" w:hAnsi="Calibri" w:cs="Calibri"/>
                <w:color w:val="000000" w:themeColor="text1"/>
              </w:rPr>
              <w:t xml:space="preserve">HIV </w:t>
            </w:r>
            <w:r>
              <w:rPr>
                <w:rFonts w:ascii="Calibri" w:hAnsi="Calibri" w:cs="Calibri"/>
                <w:color w:val="000000" w:themeColor="text1"/>
              </w:rPr>
              <w:t xml:space="preserve">and syphilis </w:t>
            </w:r>
          </w:p>
        </w:tc>
      </w:tr>
      <w:tr w:rsidR="00DD5EBA" w:rsidRPr="003F12D8" w14:paraId="367F653F" w14:textId="77777777" w:rsidTr="00DF2D1E">
        <w:trPr>
          <w:trHeight w:val="456"/>
        </w:trPr>
        <w:tc>
          <w:tcPr>
            <w:tcW w:w="973" w:type="pct"/>
            <w:tcBorders>
              <w:top w:val="single" w:sz="4" w:space="0" w:color="auto"/>
              <w:left w:val="single" w:sz="4" w:space="0" w:color="auto"/>
              <w:bottom w:val="single" w:sz="4" w:space="0" w:color="auto"/>
              <w:right w:val="single" w:sz="4" w:space="0" w:color="auto"/>
            </w:tcBorders>
          </w:tcPr>
          <w:p w14:paraId="0BC27E19" w14:textId="206033F2" w:rsidR="00DD5EBA" w:rsidRPr="003F12D8" w:rsidRDefault="00DD5EBA" w:rsidP="009C0564">
            <w:pPr>
              <w:ind w:hanging="2"/>
              <w:rPr>
                <w:rFonts w:ascii="Calibri" w:hAnsi="Calibri" w:cs="Calibri"/>
                <w:bCs/>
              </w:rPr>
            </w:pPr>
            <w:r w:rsidRPr="003F12D8">
              <w:rPr>
                <w:rFonts w:ascii="Calibri" w:hAnsi="Calibri" w:cs="Calibri"/>
                <w:bCs/>
              </w:rPr>
              <w:t>Microscopy</w:t>
            </w:r>
          </w:p>
        </w:tc>
        <w:tc>
          <w:tcPr>
            <w:tcW w:w="1347" w:type="pct"/>
            <w:tcBorders>
              <w:top w:val="single" w:sz="4" w:space="0" w:color="auto"/>
              <w:left w:val="single" w:sz="4" w:space="0" w:color="auto"/>
              <w:bottom w:val="single" w:sz="4" w:space="0" w:color="auto"/>
              <w:right w:val="single" w:sz="4" w:space="0" w:color="auto"/>
            </w:tcBorders>
          </w:tcPr>
          <w:p w14:paraId="3F6C37CF" w14:textId="4F4848F5" w:rsidR="00DD5EBA" w:rsidRPr="003F12D8" w:rsidRDefault="00DD5EBA" w:rsidP="009C0564">
            <w:pPr>
              <w:ind w:hanging="2"/>
              <w:rPr>
                <w:rFonts w:ascii="Calibri" w:hAnsi="Calibri" w:cs="Calibri"/>
              </w:rPr>
            </w:pPr>
            <w:r w:rsidRPr="003F12D8">
              <w:rPr>
                <w:rFonts w:ascii="Calibri" w:hAnsi="Calibri" w:cs="Calibri"/>
              </w:rPr>
              <w:t>Anorectal swab</w:t>
            </w:r>
          </w:p>
        </w:tc>
        <w:tc>
          <w:tcPr>
            <w:tcW w:w="2680" w:type="pct"/>
            <w:tcBorders>
              <w:top w:val="single" w:sz="4" w:space="0" w:color="auto"/>
              <w:left w:val="single" w:sz="4" w:space="0" w:color="auto"/>
              <w:bottom w:val="single" w:sz="4" w:space="0" w:color="auto"/>
              <w:right w:val="single" w:sz="4" w:space="0" w:color="auto"/>
            </w:tcBorders>
          </w:tcPr>
          <w:p w14:paraId="69EB38DD" w14:textId="6C52F6FA" w:rsidR="00A72C3A" w:rsidRPr="00A72C3A" w:rsidRDefault="00DD5EBA" w:rsidP="00A72C3A">
            <w:pPr>
              <w:pStyle w:val="NormalWeb"/>
              <w:shd w:val="clear" w:color="auto" w:fill="FFFFFF"/>
              <w:spacing w:before="0" w:beforeAutospacing="0" w:after="0" w:afterAutospacing="0"/>
              <w:textAlignment w:val="baseline"/>
              <w:rPr>
                <w:rFonts w:ascii="Calibri" w:eastAsia="Times New Roman" w:hAnsi="Calibri" w:cs="Calibri"/>
                <w:color w:val="000000" w:themeColor="text1"/>
                <w:sz w:val="24"/>
                <w:szCs w:val="24"/>
              </w:rPr>
            </w:pPr>
            <w:r w:rsidRPr="00A72C3A">
              <w:rPr>
                <w:rFonts w:ascii="Calibri" w:hAnsi="Calibri" w:cs="Calibri"/>
                <w:color w:val="000000" w:themeColor="text1"/>
                <w:sz w:val="24"/>
                <w:szCs w:val="24"/>
                <w:bdr w:val="none" w:sz="0" w:space="0" w:color="auto" w:frame="1"/>
              </w:rPr>
              <w:t xml:space="preserve">Microscopy may be useful </w:t>
            </w:r>
            <w:r w:rsidRPr="00A72C3A">
              <w:rPr>
                <w:rFonts w:ascii="Calibri" w:eastAsia="Times New Roman" w:hAnsi="Calibri" w:cs="Calibri"/>
                <w:color w:val="000000" w:themeColor="text1"/>
                <w:sz w:val="24"/>
                <w:szCs w:val="24"/>
              </w:rPr>
              <w:t>where proctitis is associated with an anal ulcer, dark ground microscopy may identify spirochaetes (</w:t>
            </w:r>
            <w:r w:rsidRPr="00A72C3A">
              <w:rPr>
                <w:rFonts w:ascii="Calibri" w:eastAsia="Times New Roman" w:hAnsi="Calibri" w:cs="Calibri"/>
                <w:i/>
                <w:color w:val="000000" w:themeColor="text1"/>
                <w:sz w:val="24"/>
                <w:szCs w:val="24"/>
              </w:rPr>
              <w:t>Treponema pallidum</w:t>
            </w:r>
            <w:r w:rsidRPr="00A72C3A">
              <w:rPr>
                <w:rFonts w:ascii="Calibri" w:eastAsia="Times New Roman" w:hAnsi="Calibri" w:cs="Calibri"/>
                <w:color w:val="000000" w:themeColor="text1"/>
                <w:sz w:val="24"/>
                <w:szCs w:val="24"/>
              </w:rPr>
              <w:t>).</w:t>
            </w:r>
            <w:r w:rsidR="00A72C3A">
              <w:rPr>
                <w:rFonts w:ascii="Calibri" w:eastAsia="Times New Roman" w:hAnsi="Calibri" w:cs="Calibri"/>
                <w:color w:val="000000" w:themeColor="text1"/>
                <w:sz w:val="24"/>
                <w:szCs w:val="24"/>
              </w:rPr>
              <w:t xml:space="preserve"> </w:t>
            </w:r>
            <w:r w:rsidR="00A72C3A" w:rsidRPr="00A72C3A">
              <w:rPr>
                <w:rFonts w:ascii="Calibri" w:hAnsi="Calibri" w:cs="Calibri"/>
                <w:color w:val="000000" w:themeColor="text1"/>
                <w:sz w:val="24"/>
                <w:szCs w:val="24"/>
              </w:rPr>
              <w:t>Microscopy has low sensitivity for the detection of both syphilis and gonorrhoea and false positives on dark ground microscopy can also occur due to the presence of non-treponemal spirochaetes present in the normal bowel flora.</w:t>
            </w:r>
          </w:p>
          <w:p w14:paraId="44C6BC43" w14:textId="77777777" w:rsidR="00A72C3A" w:rsidRPr="00A72C3A" w:rsidRDefault="00A72C3A" w:rsidP="00A72C3A">
            <w:pPr>
              <w:pStyle w:val="NormalWeb"/>
              <w:shd w:val="clear" w:color="auto" w:fill="FFFFFF"/>
              <w:spacing w:before="0" w:beforeAutospacing="0" w:after="0" w:afterAutospacing="0"/>
              <w:textAlignment w:val="baseline"/>
              <w:rPr>
                <w:rFonts w:ascii="Calibri" w:hAnsi="Calibri" w:cs="Calibri"/>
                <w:color w:val="000000" w:themeColor="text1"/>
                <w:sz w:val="24"/>
                <w:szCs w:val="24"/>
              </w:rPr>
            </w:pPr>
          </w:p>
          <w:p w14:paraId="1B9BA8DE" w14:textId="77777777" w:rsidR="00A72C3A" w:rsidRDefault="00DD5EBA" w:rsidP="00A72C3A">
            <w:pPr>
              <w:shd w:val="clear" w:color="auto" w:fill="FFFFFF"/>
              <w:textAlignment w:val="baseline"/>
              <w:rPr>
                <w:rFonts w:ascii="Calibri" w:eastAsia="Times New Roman" w:hAnsi="Calibri" w:cs="Calibri"/>
                <w:color w:val="000000" w:themeColor="text1"/>
              </w:rPr>
            </w:pPr>
            <w:r w:rsidRPr="00A72C3A">
              <w:rPr>
                <w:rFonts w:ascii="Calibri" w:eastAsia="Times New Roman" w:hAnsi="Calibri" w:cs="Calibri"/>
                <w:color w:val="000000" w:themeColor="text1"/>
              </w:rPr>
              <w:t>Gram stain of a rectal swab or discharge may identify gram negative diplococci indicative of gonorrhoea.</w:t>
            </w:r>
          </w:p>
          <w:p w14:paraId="35A5D8EA" w14:textId="77777777" w:rsidR="00DD5EBA" w:rsidRPr="00A72C3A" w:rsidRDefault="00DD5EBA" w:rsidP="00A72C3A">
            <w:pPr>
              <w:shd w:val="clear" w:color="auto" w:fill="FFFFFF"/>
              <w:textAlignment w:val="baseline"/>
              <w:rPr>
                <w:rFonts w:ascii="Calibri" w:hAnsi="Calibri" w:cs="Calibri"/>
                <w:color w:val="000000" w:themeColor="text1"/>
              </w:rPr>
            </w:pPr>
          </w:p>
        </w:tc>
      </w:tr>
      <w:tr w:rsidR="00F946D5" w:rsidRPr="003F12D8" w14:paraId="556AFCF8" w14:textId="77777777" w:rsidTr="00DF2D1E">
        <w:trPr>
          <w:trHeight w:val="456"/>
        </w:trPr>
        <w:tc>
          <w:tcPr>
            <w:tcW w:w="973" w:type="pct"/>
            <w:tcBorders>
              <w:top w:val="single" w:sz="4" w:space="0" w:color="auto"/>
              <w:left w:val="single" w:sz="4" w:space="0" w:color="auto"/>
              <w:bottom w:val="single" w:sz="4" w:space="0" w:color="auto"/>
              <w:right w:val="single" w:sz="4" w:space="0" w:color="auto"/>
            </w:tcBorders>
          </w:tcPr>
          <w:p w14:paraId="195CD18D" w14:textId="77777777" w:rsidR="00F946D5" w:rsidRPr="003F12D8" w:rsidRDefault="00F946D5" w:rsidP="009C0564">
            <w:pPr>
              <w:ind w:hanging="2"/>
              <w:rPr>
                <w:rFonts w:ascii="Calibri" w:hAnsi="Calibri" w:cs="Calibri"/>
                <w:bCs/>
              </w:rPr>
            </w:pPr>
            <w:r w:rsidRPr="003F12D8">
              <w:rPr>
                <w:rFonts w:ascii="Calibri" w:hAnsi="Calibri" w:cs="Calibri"/>
                <w:bCs/>
              </w:rPr>
              <w:t>Microscopy and culture, including ova</w:t>
            </w:r>
          </w:p>
          <w:p w14:paraId="5DF0E0D9" w14:textId="77777777" w:rsidR="00065F87" w:rsidRPr="003F12D8" w:rsidRDefault="00065F87" w:rsidP="009C0564">
            <w:pPr>
              <w:ind w:hanging="2"/>
              <w:rPr>
                <w:rFonts w:ascii="Calibri" w:hAnsi="Calibri" w:cs="Calibri"/>
                <w:bCs/>
              </w:rPr>
            </w:pPr>
          </w:p>
          <w:p w14:paraId="6677F259" w14:textId="7B827840" w:rsidR="00065F87" w:rsidRPr="003F12D8" w:rsidRDefault="00065F87" w:rsidP="009C0564">
            <w:pPr>
              <w:ind w:hanging="2"/>
              <w:rPr>
                <w:rFonts w:ascii="Calibri" w:hAnsi="Calibri" w:cs="Calibri"/>
                <w:bCs/>
              </w:rPr>
            </w:pPr>
            <w:r w:rsidRPr="003F12D8">
              <w:rPr>
                <w:rFonts w:ascii="Calibri" w:hAnsi="Calibri" w:cs="Calibri"/>
                <w:bCs/>
              </w:rPr>
              <w:t>PCR for enteric pathogens</w:t>
            </w:r>
          </w:p>
        </w:tc>
        <w:tc>
          <w:tcPr>
            <w:tcW w:w="1347" w:type="pct"/>
            <w:tcBorders>
              <w:top w:val="single" w:sz="4" w:space="0" w:color="auto"/>
              <w:left w:val="single" w:sz="4" w:space="0" w:color="auto"/>
              <w:bottom w:val="single" w:sz="4" w:space="0" w:color="auto"/>
              <w:right w:val="single" w:sz="4" w:space="0" w:color="auto"/>
            </w:tcBorders>
          </w:tcPr>
          <w:p w14:paraId="22991E98" w14:textId="283BAD71" w:rsidR="00F946D5" w:rsidRPr="003F12D8" w:rsidRDefault="00F946D5" w:rsidP="009C0564">
            <w:pPr>
              <w:ind w:hanging="2"/>
              <w:rPr>
                <w:rFonts w:ascii="Calibri" w:hAnsi="Calibri" w:cs="Calibri"/>
              </w:rPr>
            </w:pPr>
            <w:r w:rsidRPr="003F12D8">
              <w:rPr>
                <w:rFonts w:ascii="Calibri" w:hAnsi="Calibri" w:cs="Calibri"/>
              </w:rPr>
              <w:t>Faecal specimen</w:t>
            </w:r>
          </w:p>
        </w:tc>
        <w:tc>
          <w:tcPr>
            <w:tcW w:w="2680" w:type="pct"/>
            <w:tcBorders>
              <w:top w:val="single" w:sz="4" w:space="0" w:color="auto"/>
              <w:left w:val="single" w:sz="4" w:space="0" w:color="auto"/>
              <w:bottom w:val="single" w:sz="4" w:space="0" w:color="auto"/>
              <w:right w:val="single" w:sz="4" w:space="0" w:color="auto"/>
            </w:tcBorders>
          </w:tcPr>
          <w:p w14:paraId="67377406" w14:textId="12EE0261" w:rsidR="00F946D5" w:rsidRPr="00A72C3A" w:rsidRDefault="00F946D5" w:rsidP="009C0564">
            <w:pPr>
              <w:ind w:hanging="2"/>
              <w:rPr>
                <w:rFonts w:ascii="Calibri" w:hAnsi="Calibri" w:cs="Calibri"/>
                <w:color w:val="000000" w:themeColor="text1"/>
              </w:rPr>
            </w:pPr>
            <w:r w:rsidRPr="00A72C3A">
              <w:rPr>
                <w:rFonts w:ascii="Calibri" w:hAnsi="Calibri" w:cs="Calibri"/>
                <w:color w:val="000000" w:themeColor="text1"/>
              </w:rPr>
              <w:t xml:space="preserve">If suspect enteric infection </w:t>
            </w:r>
            <w:proofErr w:type="gramStart"/>
            <w:r w:rsidRPr="00A72C3A">
              <w:rPr>
                <w:rFonts w:ascii="Calibri" w:hAnsi="Calibri" w:cs="Calibri"/>
                <w:color w:val="000000" w:themeColor="text1"/>
              </w:rPr>
              <w:t>e.g.</w:t>
            </w:r>
            <w:proofErr w:type="gramEnd"/>
            <w:r w:rsidRPr="00A72C3A">
              <w:rPr>
                <w:rFonts w:ascii="Calibri" w:hAnsi="Calibri" w:cs="Calibri"/>
                <w:color w:val="000000" w:themeColor="text1"/>
              </w:rPr>
              <w:t xml:space="preserve"> when abdominal pain and diarrhoea are present</w:t>
            </w:r>
          </w:p>
        </w:tc>
      </w:tr>
    </w:tbl>
    <w:p w14:paraId="6108F219" w14:textId="3DA59864" w:rsidR="00E36B0B" w:rsidRPr="00A72C3A" w:rsidRDefault="00E36B0B" w:rsidP="00E36B0B">
      <w:pPr>
        <w:pStyle w:val="Heading1"/>
        <w:rPr>
          <w:rFonts w:ascii="Calibri" w:hAnsi="Calibri" w:cs="Calibri"/>
          <w:color w:val="000000" w:themeColor="text1"/>
        </w:rPr>
      </w:pPr>
      <w:r w:rsidRPr="00A72C3A">
        <w:rPr>
          <w:rFonts w:ascii="Calibri" w:hAnsi="Calibri" w:cs="Calibri"/>
          <w:color w:val="000000" w:themeColor="text1"/>
          <w:lang w:val="en-GB"/>
        </w:rPr>
        <w:t>Man</w:t>
      </w:r>
      <w:r w:rsidR="009A5EEF">
        <w:rPr>
          <w:rFonts w:ascii="Calibri" w:hAnsi="Calibri" w:cs="Calibri"/>
          <w:color w:val="000000" w:themeColor="text1"/>
          <w:lang w:val="en-GB"/>
        </w:rPr>
        <w:t>a</w:t>
      </w:r>
      <w:r w:rsidRPr="00A72C3A">
        <w:rPr>
          <w:rFonts w:ascii="Calibri" w:hAnsi="Calibri" w:cs="Calibri"/>
          <w:color w:val="000000" w:themeColor="text1"/>
          <w:lang w:val="en-GB"/>
        </w:rPr>
        <w:t>gement</w:t>
      </w:r>
    </w:p>
    <w:p w14:paraId="2D1ED10E" w14:textId="6278F8A5" w:rsidR="00346FC6" w:rsidRPr="003F12D8" w:rsidRDefault="0016004D" w:rsidP="0016004D">
      <w:pPr>
        <w:pStyle w:val="Heading2"/>
        <w:rPr>
          <w:rFonts w:ascii="Calibri" w:hAnsi="Calibri" w:cs="Calibri"/>
          <w:color w:val="00527D"/>
          <w:sz w:val="22"/>
          <w:szCs w:val="22"/>
        </w:rPr>
      </w:pPr>
      <w:r w:rsidRPr="00A72C3A">
        <w:rPr>
          <w:rFonts w:ascii="Calibri" w:hAnsi="Calibri" w:cs="Calibri"/>
          <w:color w:val="000000" w:themeColor="text1"/>
        </w:rPr>
        <w:t>Index patient</w:t>
      </w:r>
      <w:r w:rsidR="00AD7E51" w:rsidRPr="003F12D8">
        <w:rPr>
          <w:rFonts w:ascii="Calibri" w:hAnsi="Calibri" w:cs="Calibri"/>
        </w:rPr>
        <w:br/>
      </w:r>
    </w:p>
    <w:tbl>
      <w:tblPr>
        <w:tblW w:w="9607" w:type="dxa"/>
        <w:tblInd w:w="279" w:type="dxa"/>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2299"/>
        <w:gridCol w:w="2791"/>
        <w:gridCol w:w="4517"/>
      </w:tblGrid>
      <w:tr w:rsidR="00A72C3A" w:rsidRPr="003F12D8" w14:paraId="12EE59D5" w14:textId="77777777" w:rsidTr="00A72C3A">
        <w:trPr>
          <w:trHeight w:val="251"/>
        </w:trPr>
        <w:tc>
          <w:tcPr>
            <w:tcW w:w="0" w:type="auto"/>
            <w:tcBorders>
              <w:top w:val="single" w:sz="4" w:space="0" w:color="auto"/>
              <w:left w:val="single" w:sz="4" w:space="0" w:color="auto"/>
              <w:bottom w:val="single" w:sz="4" w:space="0" w:color="auto"/>
              <w:right w:val="single" w:sz="4" w:space="0" w:color="auto"/>
            </w:tcBorders>
            <w:shd w:val="clear" w:color="auto" w:fill="595959"/>
          </w:tcPr>
          <w:p w14:paraId="1246C4CE" w14:textId="77777777" w:rsidR="00346FC6" w:rsidRPr="003F12D8" w:rsidRDefault="00346FC6" w:rsidP="009C0564">
            <w:pPr>
              <w:ind w:left="452"/>
              <w:jc w:val="center"/>
              <w:rPr>
                <w:rFonts w:ascii="Calibri" w:hAnsi="Calibri" w:cs="Calibri"/>
                <w:b/>
                <w:bCs/>
                <w:color w:val="FFFFFF"/>
              </w:rPr>
            </w:pPr>
            <w:r w:rsidRPr="003F12D8">
              <w:rPr>
                <w:rFonts w:ascii="Calibri" w:hAnsi="Calibri" w:cs="Calibri"/>
                <w:b/>
                <w:bCs/>
                <w:color w:val="FFFFFF"/>
              </w:rPr>
              <w:t>Condition</w:t>
            </w:r>
          </w:p>
        </w:tc>
        <w:tc>
          <w:tcPr>
            <w:tcW w:w="0" w:type="auto"/>
            <w:tcBorders>
              <w:top w:val="single" w:sz="4" w:space="0" w:color="auto"/>
              <w:left w:val="single" w:sz="4" w:space="0" w:color="auto"/>
              <w:bottom w:val="single" w:sz="4" w:space="0" w:color="auto"/>
              <w:right w:val="single" w:sz="4" w:space="0" w:color="auto"/>
            </w:tcBorders>
            <w:shd w:val="clear" w:color="auto" w:fill="595959"/>
          </w:tcPr>
          <w:p w14:paraId="3FF8C796" w14:textId="77777777" w:rsidR="00346FC6" w:rsidRPr="003F12D8" w:rsidRDefault="00346FC6" w:rsidP="009C0564">
            <w:pPr>
              <w:ind w:left="452"/>
              <w:jc w:val="center"/>
              <w:rPr>
                <w:rFonts w:ascii="Calibri" w:hAnsi="Calibri" w:cs="Calibri"/>
                <w:b/>
                <w:color w:val="FFFFFF"/>
              </w:rPr>
            </w:pPr>
            <w:r w:rsidRPr="003F12D8">
              <w:rPr>
                <w:rFonts w:ascii="Calibri" w:hAnsi="Calibri" w:cs="Calibri"/>
                <w:b/>
                <w:color w:val="FFFFFF"/>
              </w:rPr>
              <w:t>Recommended</w:t>
            </w:r>
          </w:p>
        </w:tc>
        <w:tc>
          <w:tcPr>
            <w:tcW w:w="4517" w:type="dxa"/>
            <w:tcBorders>
              <w:top w:val="single" w:sz="4" w:space="0" w:color="auto"/>
              <w:left w:val="single" w:sz="4" w:space="0" w:color="auto"/>
              <w:bottom w:val="single" w:sz="4" w:space="0" w:color="auto"/>
              <w:right w:val="single" w:sz="4" w:space="0" w:color="auto"/>
            </w:tcBorders>
            <w:shd w:val="clear" w:color="auto" w:fill="595959"/>
          </w:tcPr>
          <w:p w14:paraId="460D9A89" w14:textId="7C04A373" w:rsidR="00346FC6" w:rsidRPr="003F12D8" w:rsidRDefault="00A72C3A" w:rsidP="009C0564">
            <w:pPr>
              <w:ind w:left="452"/>
              <w:jc w:val="center"/>
              <w:rPr>
                <w:rFonts w:ascii="Calibri" w:hAnsi="Calibri" w:cs="Calibri"/>
                <w:b/>
                <w:color w:val="FFFFFF"/>
              </w:rPr>
            </w:pPr>
            <w:r>
              <w:rPr>
                <w:rFonts w:ascii="Calibri" w:hAnsi="Calibri" w:cs="Calibri"/>
                <w:b/>
                <w:color w:val="FFFFFF"/>
              </w:rPr>
              <w:t>C</w:t>
            </w:r>
            <w:r w:rsidR="00346FC6" w:rsidRPr="003F12D8">
              <w:rPr>
                <w:rFonts w:ascii="Calibri" w:hAnsi="Calibri" w:cs="Calibri"/>
                <w:b/>
                <w:color w:val="FFFFFF"/>
              </w:rPr>
              <w:t>omments</w:t>
            </w:r>
          </w:p>
        </w:tc>
      </w:tr>
      <w:tr w:rsidR="00A72C3A" w:rsidRPr="003F12D8" w14:paraId="65D76113" w14:textId="77777777" w:rsidTr="00A72C3A">
        <w:trPr>
          <w:trHeight w:val="251"/>
        </w:trPr>
        <w:tc>
          <w:tcPr>
            <w:tcW w:w="0" w:type="auto"/>
            <w:tcBorders>
              <w:top w:val="single" w:sz="4" w:space="0" w:color="auto"/>
              <w:left w:val="single" w:sz="4" w:space="0" w:color="auto"/>
              <w:bottom w:val="single" w:sz="4" w:space="0" w:color="auto"/>
              <w:right w:val="single" w:sz="4" w:space="0" w:color="auto"/>
            </w:tcBorders>
          </w:tcPr>
          <w:p w14:paraId="5CF8EE9C" w14:textId="0C275835" w:rsidR="00346FC6" w:rsidRPr="003F12D8" w:rsidRDefault="00346FC6" w:rsidP="00A72C3A">
            <w:pPr>
              <w:rPr>
                <w:rFonts w:ascii="Calibri" w:hAnsi="Calibri" w:cs="Calibri"/>
                <w:b/>
                <w:bCs/>
              </w:rPr>
            </w:pPr>
            <w:r w:rsidRPr="003F12D8">
              <w:rPr>
                <w:rFonts w:ascii="Calibri" w:hAnsi="Calibri" w:cs="Calibri"/>
                <w:bCs/>
              </w:rPr>
              <w:t>Proctitis – likely to be sexually acquired</w:t>
            </w:r>
          </w:p>
        </w:tc>
        <w:tc>
          <w:tcPr>
            <w:tcW w:w="0" w:type="auto"/>
            <w:tcBorders>
              <w:top w:val="single" w:sz="4" w:space="0" w:color="auto"/>
              <w:left w:val="single" w:sz="4" w:space="0" w:color="auto"/>
              <w:bottom w:val="single" w:sz="4" w:space="0" w:color="auto"/>
              <w:right w:val="single" w:sz="4" w:space="0" w:color="auto"/>
            </w:tcBorders>
          </w:tcPr>
          <w:p w14:paraId="2E57406E" w14:textId="2CFF4584" w:rsidR="00607484" w:rsidRPr="00A72C3A" w:rsidRDefault="00346FC6" w:rsidP="00346FC6">
            <w:pPr>
              <w:textAlignment w:val="baseline"/>
              <w:rPr>
                <w:rFonts w:ascii="Calibri" w:eastAsia="Times New Roman" w:hAnsi="Calibri" w:cs="Calibri"/>
                <w:b/>
                <w:bCs/>
                <w:color w:val="4F81BD" w:themeColor="accent1"/>
                <w:sz w:val="23"/>
                <w:szCs w:val="23"/>
              </w:rPr>
            </w:pPr>
            <w:r w:rsidRPr="00A72C3A">
              <w:rPr>
                <w:rFonts w:ascii="Calibri" w:eastAsia="Times New Roman" w:hAnsi="Calibri" w:cs="Calibri"/>
                <w:b/>
                <w:bCs/>
                <w:color w:val="4F81BD" w:themeColor="accent1"/>
                <w:sz w:val="23"/>
                <w:szCs w:val="23"/>
              </w:rPr>
              <w:t xml:space="preserve">Doxycycline 100mg </w:t>
            </w:r>
            <w:r w:rsidR="00607484" w:rsidRPr="00A72C3A">
              <w:rPr>
                <w:rFonts w:ascii="Calibri" w:eastAsia="Times New Roman" w:hAnsi="Calibri" w:cs="Calibri"/>
                <w:b/>
                <w:bCs/>
                <w:color w:val="4F81BD" w:themeColor="accent1"/>
                <w:sz w:val="23"/>
                <w:szCs w:val="23"/>
              </w:rPr>
              <w:t xml:space="preserve">PO, </w:t>
            </w:r>
            <w:r w:rsidR="00A72C3A" w:rsidRPr="00A72C3A">
              <w:rPr>
                <w:rFonts w:ascii="Calibri" w:eastAsia="Times New Roman" w:hAnsi="Calibri" w:cs="Calibri"/>
                <w:b/>
                <w:bCs/>
                <w:color w:val="4F81BD" w:themeColor="accent1"/>
                <w:sz w:val="23"/>
                <w:szCs w:val="23"/>
              </w:rPr>
              <w:t>twice daily for</w:t>
            </w:r>
            <w:r w:rsidR="00607484" w:rsidRPr="00A72C3A">
              <w:rPr>
                <w:rFonts w:ascii="Calibri" w:eastAsia="Times New Roman" w:hAnsi="Calibri" w:cs="Calibri"/>
                <w:b/>
                <w:bCs/>
                <w:color w:val="4F81BD" w:themeColor="accent1"/>
                <w:sz w:val="23"/>
                <w:szCs w:val="23"/>
              </w:rPr>
              <w:t xml:space="preserve"> </w:t>
            </w:r>
            <w:r w:rsidR="00B32559">
              <w:rPr>
                <w:rFonts w:ascii="Calibri" w:eastAsia="Times New Roman" w:hAnsi="Calibri" w:cs="Calibri"/>
                <w:b/>
                <w:bCs/>
                <w:color w:val="4F81BD" w:themeColor="accent1"/>
                <w:sz w:val="23"/>
                <w:szCs w:val="23"/>
              </w:rPr>
              <w:t>1</w:t>
            </w:r>
            <w:r w:rsidR="00607484" w:rsidRPr="00A72C3A">
              <w:rPr>
                <w:rFonts w:ascii="Calibri" w:eastAsia="Times New Roman" w:hAnsi="Calibri" w:cs="Calibri"/>
                <w:b/>
                <w:bCs/>
                <w:color w:val="4F81BD" w:themeColor="accent1"/>
                <w:sz w:val="23"/>
                <w:szCs w:val="23"/>
              </w:rPr>
              <w:t xml:space="preserve"> week</w:t>
            </w:r>
          </w:p>
          <w:p w14:paraId="5B9A5D80" w14:textId="77777777" w:rsidR="00607484" w:rsidRPr="00A72C3A" w:rsidRDefault="00607484" w:rsidP="00346FC6">
            <w:pPr>
              <w:textAlignment w:val="baseline"/>
              <w:rPr>
                <w:rFonts w:ascii="Calibri" w:eastAsia="Times New Roman" w:hAnsi="Calibri" w:cs="Calibri"/>
                <w:color w:val="000000" w:themeColor="text1"/>
                <w:sz w:val="23"/>
                <w:szCs w:val="23"/>
              </w:rPr>
            </w:pPr>
          </w:p>
          <w:p w14:paraId="422BBAB8" w14:textId="77777777" w:rsidR="00607484" w:rsidRPr="00A72C3A" w:rsidRDefault="00607484" w:rsidP="00346FC6">
            <w:pPr>
              <w:textAlignment w:val="baseline"/>
              <w:rPr>
                <w:rFonts w:ascii="Calibri" w:eastAsia="Times New Roman" w:hAnsi="Calibri" w:cs="Calibri"/>
                <w:color w:val="000000" w:themeColor="text1"/>
                <w:sz w:val="23"/>
                <w:szCs w:val="23"/>
              </w:rPr>
            </w:pPr>
            <w:r w:rsidRPr="00A72C3A">
              <w:rPr>
                <w:rFonts w:ascii="Calibri" w:eastAsia="Times New Roman" w:hAnsi="Calibri" w:cs="Calibri"/>
                <w:color w:val="000000" w:themeColor="text1"/>
                <w:sz w:val="23"/>
                <w:szCs w:val="23"/>
              </w:rPr>
              <w:t>AND</w:t>
            </w:r>
          </w:p>
          <w:p w14:paraId="7AD5F922" w14:textId="77777777" w:rsidR="00607484" w:rsidRPr="00A72C3A" w:rsidRDefault="00607484" w:rsidP="00346FC6">
            <w:pPr>
              <w:textAlignment w:val="baseline"/>
              <w:rPr>
                <w:rFonts w:ascii="Calibri" w:eastAsia="Times New Roman" w:hAnsi="Calibri" w:cs="Calibri"/>
                <w:color w:val="000000" w:themeColor="text1"/>
                <w:sz w:val="23"/>
                <w:szCs w:val="23"/>
              </w:rPr>
            </w:pPr>
          </w:p>
          <w:p w14:paraId="620B81A9" w14:textId="77777777" w:rsidR="00607484" w:rsidRPr="00A72C3A" w:rsidRDefault="00346FC6" w:rsidP="00346FC6">
            <w:pPr>
              <w:textAlignment w:val="baseline"/>
              <w:rPr>
                <w:rFonts w:ascii="Calibri" w:eastAsia="Times New Roman" w:hAnsi="Calibri" w:cs="Calibri"/>
                <w:b/>
                <w:bCs/>
                <w:color w:val="4F81BD" w:themeColor="accent1"/>
                <w:sz w:val="23"/>
                <w:szCs w:val="23"/>
              </w:rPr>
            </w:pPr>
            <w:r w:rsidRPr="00A72C3A">
              <w:rPr>
                <w:rFonts w:ascii="Calibri" w:eastAsia="Times New Roman" w:hAnsi="Calibri" w:cs="Calibri"/>
                <w:b/>
                <w:bCs/>
                <w:color w:val="4F81BD" w:themeColor="accent1"/>
                <w:sz w:val="23"/>
                <w:szCs w:val="23"/>
              </w:rPr>
              <w:lastRenderedPageBreak/>
              <w:t xml:space="preserve">Ceftriaxone 500mg </w:t>
            </w:r>
            <w:r w:rsidR="00607484" w:rsidRPr="00A72C3A">
              <w:rPr>
                <w:rFonts w:ascii="Calibri" w:eastAsia="Times New Roman" w:hAnsi="Calibri" w:cs="Calibri"/>
                <w:b/>
                <w:bCs/>
                <w:color w:val="4F81BD" w:themeColor="accent1"/>
                <w:sz w:val="23"/>
                <w:szCs w:val="23"/>
              </w:rPr>
              <w:t>IM, stat</w:t>
            </w:r>
          </w:p>
          <w:p w14:paraId="5C713FC0" w14:textId="77777777" w:rsidR="00607484" w:rsidRPr="00A72C3A" w:rsidRDefault="00607484" w:rsidP="00346FC6">
            <w:pPr>
              <w:textAlignment w:val="baseline"/>
              <w:rPr>
                <w:rFonts w:ascii="Calibri" w:eastAsia="Times New Roman" w:hAnsi="Calibri" w:cs="Calibri"/>
                <w:color w:val="000000" w:themeColor="text1"/>
                <w:sz w:val="23"/>
                <w:szCs w:val="23"/>
              </w:rPr>
            </w:pPr>
          </w:p>
          <w:p w14:paraId="00834892" w14:textId="77777777" w:rsidR="00607484" w:rsidRPr="00A72C3A" w:rsidRDefault="00607484" w:rsidP="00346FC6">
            <w:pPr>
              <w:textAlignment w:val="baseline"/>
              <w:rPr>
                <w:rFonts w:ascii="Calibri" w:eastAsia="Times New Roman" w:hAnsi="Calibri" w:cs="Calibri"/>
                <w:color w:val="000000" w:themeColor="text1"/>
                <w:sz w:val="23"/>
                <w:szCs w:val="23"/>
              </w:rPr>
            </w:pPr>
            <w:r w:rsidRPr="00A72C3A">
              <w:rPr>
                <w:rFonts w:ascii="Calibri" w:eastAsia="Times New Roman" w:hAnsi="Calibri" w:cs="Calibri"/>
                <w:color w:val="000000" w:themeColor="text1"/>
                <w:sz w:val="23"/>
                <w:szCs w:val="23"/>
              </w:rPr>
              <w:t>AND</w:t>
            </w:r>
          </w:p>
          <w:p w14:paraId="22E41123" w14:textId="77777777" w:rsidR="00607484" w:rsidRPr="00A72C3A" w:rsidRDefault="00607484" w:rsidP="00346FC6">
            <w:pPr>
              <w:textAlignment w:val="baseline"/>
              <w:rPr>
                <w:rFonts w:ascii="Calibri" w:eastAsia="Times New Roman" w:hAnsi="Calibri" w:cs="Calibri"/>
                <w:color w:val="000000" w:themeColor="text1"/>
                <w:sz w:val="23"/>
                <w:szCs w:val="23"/>
              </w:rPr>
            </w:pPr>
          </w:p>
          <w:p w14:paraId="02336308" w14:textId="0A453529" w:rsidR="00346FC6" w:rsidRPr="00A72C3A" w:rsidRDefault="00346FC6" w:rsidP="00346FC6">
            <w:pPr>
              <w:textAlignment w:val="baseline"/>
              <w:rPr>
                <w:rFonts w:ascii="Calibri" w:eastAsia="Times New Roman" w:hAnsi="Calibri" w:cs="Calibri"/>
                <w:b/>
                <w:bCs/>
                <w:color w:val="4F81BD" w:themeColor="accent1"/>
                <w:sz w:val="23"/>
                <w:szCs w:val="23"/>
              </w:rPr>
            </w:pPr>
            <w:r w:rsidRPr="00A72C3A">
              <w:rPr>
                <w:rFonts w:ascii="Calibri" w:eastAsia="Times New Roman" w:hAnsi="Calibri" w:cs="Calibri"/>
                <w:b/>
                <w:bCs/>
                <w:color w:val="4F81BD" w:themeColor="accent1"/>
                <w:sz w:val="23"/>
                <w:szCs w:val="23"/>
              </w:rPr>
              <w:t>Valaciclovir 500mg</w:t>
            </w:r>
            <w:r w:rsidR="00607484" w:rsidRPr="00A72C3A">
              <w:rPr>
                <w:rFonts w:ascii="Calibri" w:eastAsia="Times New Roman" w:hAnsi="Calibri" w:cs="Calibri"/>
                <w:b/>
                <w:bCs/>
                <w:color w:val="4F81BD" w:themeColor="accent1"/>
                <w:sz w:val="23"/>
                <w:szCs w:val="23"/>
              </w:rPr>
              <w:t xml:space="preserve"> PO, </w:t>
            </w:r>
            <w:r w:rsidR="00A72C3A">
              <w:rPr>
                <w:rFonts w:ascii="Calibri" w:eastAsia="Times New Roman" w:hAnsi="Calibri" w:cs="Calibri"/>
                <w:b/>
                <w:bCs/>
                <w:color w:val="4F81BD" w:themeColor="accent1"/>
                <w:sz w:val="23"/>
                <w:szCs w:val="23"/>
              </w:rPr>
              <w:t>twice daily for</w:t>
            </w:r>
            <w:r w:rsidRPr="00A72C3A">
              <w:rPr>
                <w:rFonts w:ascii="Calibri" w:eastAsia="Times New Roman" w:hAnsi="Calibri" w:cs="Calibri"/>
                <w:b/>
                <w:bCs/>
                <w:color w:val="4F81BD" w:themeColor="accent1"/>
                <w:sz w:val="23"/>
                <w:szCs w:val="23"/>
              </w:rPr>
              <w:t xml:space="preserve"> 7-10 days</w:t>
            </w:r>
          </w:p>
          <w:p w14:paraId="135F4C36" w14:textId="77777777" w:rsidR="00346FC6" w:rsidRPr="00A72C3A" w:rsidRDefault="00346FC6" w:rsidP="009C0564">
            <w:pPr>
              <w:ind w:left="452"/>
              <w:rPr>
                <w:rFonts w:ascii="Calibri" w:hAnsi="Calibri" w:cs="Calibri"/>
                <w:color w:val="000000" w:themeColor="text1"/>
              </w:rPr>
            </w:pPr>
          </w:p>
        </w:tc>
        <w:tc>
          <w:tcPr>
            <w:tcW w:w="4517" w:type="dxa"/>
            <w:tcBorders>
              <w:top w:val="single" w:sz="4" w:space="0" w:color="auto"/>
              <w:left w:val="single" w:sz="4" w:space="0" w:color="auto"/>
              <w:bottom w:val="single" w:sz="4" w:space="0" w:color="auto"/>
              <w:right w:val="single" w:sz="4" w:space="0" w:color="auto"/>
            </w:tcBorders>
          </w:tcPr>
          <w:p w14:paraId="072E036F" w14:textId="1EB65D48" w:rsidR="000B2D62" w:rsidRDefault="00346FC6" w:rsidP="009C0564">
            <w:pPr>
              <w:pStyle w:val="NormalWeb"/>
              <w:shd w:val="clear" w:color="auto" w:fill="FFFFFF"/>
              <w:spacing w:line="270" w:lineRule="atLeast"/>
              <w:rPr>
                <w:rFonts w:ascii="Calibri" w:hAnsi="Calibri" w:cs="Calibri"/>
                <w:color w:val="000000" w:themeColor="text1"/>
                <w:sz w:val="22"/>
                <w:szCs w:val="22"/>
              </w:rPr>
            </w:pPr>
            <w:r w:rsidRPr="00A72C3A">
              <w:rPr>
                <w:rFonts w:ascii="Calibri" w:hAnsi="Calibri" w:cs="Calibri"/>
                <w:color w:val="000000" w:themeColor="text1"/>
                <w:sz w:val="22"/>
                <w:szCs w:val="22"/>
              </w:rPr>
              <w:lastRenderedPageBreak/>
              <w:t xml:space="preserve">Treatment of suspected proctitis should be empirical and commenced prior to test results being available. </w:t>
            </w:r>
            <w:r w:rsidR="000B2D62">
              <w:rPr>
                <w:rFonts w:ascii="Calibri" w:hAnsi="Calibri" w:cs="Calibri"/>
                <w:color w:val="000000" w:themeColor="text1"/>
                <w:sz w:val="22"/>
                <w:szCs w:val="22"/>
              </w:rPr>
              <w:t xml:space="preserve">If LGV is </w:t>
            </w:r>
            <w:r w:rsidR="001A0E7A">
              <w:rPr>
                <w:rFonts w:ascii="Calibri" w:hAnsi="Calibri" w:cs="Calibri"/>
                <w:color w:val="000000" w:themeColor="text1"/>
                <w:sz w:val="22"/>
                <w:szCs w:val="22"/>
              </w:rPr>
              <w:t>detected</w:t>
            </w:r>
            <w:r w:rsidR="000B2D62">
              <w:rPr>
                <w:rFonts w:ascii="Calibri" w:hAnsi="Calibri" w:cs="Calibri"/>
                <w:color w:val="000000" w:themeColor="text1"/>
                <w:sz w:val="22"/>
                <w:szCs w:val="22"/>
              </w:rPr>
              <w:t>, then, extend doxycycline to 3 weeks.</w:t>
            </w:r>
          </w:p>
          <w:p w14:paraId="0A19C445" w14:textId="54C791B7" w:rsidR="00346FC6" w:rsidRPr="00A72C3A" w:rsidRDefault="00346FC6" w:rsidP="009C0564">
            <w:pPr>
              <w:pStyle w:val="NormalWeb"/>
              <w:shd w:val="clear" w:color="auto" w:fill="FFFFFF"/>
              <w:spacing w:line="270" w:lineRule="atLeast"/>
              <w:rPr>
                <w:rFonts w:ascii="Calibri" w:hAnsi="Calibri" w:cs="Calibri"/>
                <w:color w:val="000000" w:themeColor="text1"/>
                <w:sz w:val="22"/>
                <w:szCs w:val="22"/>
              </w:rPr>
            </w:pPr>
            <w:r w:rsidRPr="00A72C3A">
              <w:rPr>
                <w:rFonts w:ascii="Calibri" w:hAnsi="Calibri" w:cs="Calibri"/>
                <w:color w:val="000000" w:themeColor="text1"/>
                <w:sz w:val="22"/>
                <w:szCs w:val="22"/>
              </w:rPr>
              <w:lastRenderedPageBreak/>
              <w:t>Treatment should take into account the clinical picture and epidemiology of STIs in the particular patient group.</w:t>
            </w:r>
          </w:p>
          <w:p w14:paraId="3142AC43" w14:textId="71A615BB" w:rsidR="0016004D" w:rsidRPr="00A72C3A" w:rsidRDefault="00607484" w:rsidP="009C0564">
            <w:pPr>
              <w:pStyle w:val="NormalWeb"/>
              <w:shd w:val="clear" w:color="auto" w:fill="FFFFFF"/>
              <w:spacing w:line="270" w:lineRule="atLeast"/>
              <w:rPr>
                <w:rFonts w:ascii="Calibri" w:hAnsi="Calibri" w:cs="Calibri"/>
                <w:color w:val="000000" w:themeColor="text1"/>
                <w:sz w:val="22"/>
                <w:szCs w:val="22"/>
              </w:rPr>
            </w:pPr>
            <w:r w:rsidRPr="00A72C3A">
              <w:rPr>
                <w:rFonts w:ascii="Calibri" w:hAnsi="Calibri" w:cs="Calibri"/>
                <w:color w:val="000000" w:themeColor="text1"/>
                <w:sz w:val="22"/>
                <w:szCs w:val="22"/>
              </w:rPr>
              <w:t>As it can be difficult to distinguish clinically between symptomatic proctitis caused by chlamydia, gonorrhoea, and HSV, it is recommended that treatment of MSM with proctitis should cover all of these</w:t>
            </w:r>
            <w:r w:rsidR="0016004D" w:rsidRPr="00A72C3A">
              <w:rPr>
                <w:rFonts w:ascii="Calibri" w:hAnsi="Calibri" w:cs="Calibri"/>
                <w:color w:val="000000" w:themeColor="text1"/>
                <w:sz w:val="22"/>
                <w:szCs w:val="22"/>
              </w:rPr>
              <w:t>.</w:t>
            </w:r>
          </w:p>
        </w:tc>
      </w:tr>
      <w:tr w:rsidR="00A72C3A" w:rsidRPr="003F12D8" w14:paraId="777EEAAE" w14:textId="77777777" w:rsidTr="00A72C3A">
        <w:trPr>
          <w:trHeight w:val="251"/>
        </w:trPr>
        <w:tc>
          <w:tcPr>
            <w:tcW w:w="0" w:type="auto"/>
            <w:tcBorders>
              <w:top w:val="single" w:sz="4" w:space="0" w:color="auto"/>
              <w:left w:val="single" w:sz="4" w:space="0" w:color="auto"/>
              <w:bottom w:val="single" w:sz="4" w:space="0" w:color="auto"/>
              <w:right w:val="single" w:sz="4" w:space="0" w:color="auto"/>
            </w:tcBorders>
          </w:tcPr>
          <w:p w14:paraId="4EE6CBC0" w14:textId="0BDB85A6" w:rsidR="00346FC6" w:rsidRPr="003F12D8" w:rsidRDefault="00346FC6" w:rsidP="00A72C3A">
            <w:pPr>
              <w:rPr>
                <w:rFonts w:ascii="Calibri" w:hAnsi="Calibri" w:cs="Calibri"/>
                <w:bCs/>
              </w:rPr>
            </w:pPr>
            <w:r w:rsidRPr="003F12D8">
              <w:rPr>
                <w:rFonts w:ascii="Calibri" w:hAnsi="Calibri" w:cs="Calibri"/>
                <w:bCs/>
              </w:rPr>
              <w:lastRenderedPageBreak/>
              <w:t>Proctitis – likely to from an enteric pathogen</w:t>
            </w:r>
          </w:p>
        </w:tc>
        <w:tc>
          <w:tcPr>
            <w:tcW w:w="0" w:type="auto"/>
            <w:tcBorders>
              <w:top w:val="single" w:sz="4" w:space="0" w:color="auto"/>
              <w:left w:val="single" w:sz="4" w:space="0" w:color="auto"/>
              <w:bottom w:val="single" w:sz="4" w:space="0" w:color="auto"/>
              <w:right w:val="single" w:sz="4" w:space="0" w:color="auto"/>
            </w:tcBorders>
          </w:tcPr>
          <w:p w14:paraId="07235FCB" w14:textId="18B4901D" w:rsidR="00346FC6" w:rsidRPr="00A72C3A" w:rsidRDefault="00771B30" w:rsidP="00346FC6">
            <w:pPr>
              <w:textAlignment w:val="baseline"/>
              <w:rPr>
                <w:rFonts w:ascii="Calibri" w:eastAsia="Times New Roman" w:hAnsi="Calibri" w:cs="Calibri"/>
                <w:color w:val="000000" w:themeColor="text1"/>
                <w:sz w:val="23"/>
                <w:szCs w:val="23"/>
              </w:rPr>
            </w:pPr>
            <w:r w:rsidRPr="00A72C3A">
              <w:rPr>
                <w:rFonts w:ascii="Calibri" w:eastAsia="Times New Roman" w:hAnsi="Calibri" w:cs="Calibri"/>
                <w:color w:val="000000" w:themeColor="text1"/>
                <w:sz w:val="23"/>
                <w:szCs w:val="23"/>
              </w:rPr>
              <w:t>Refer to enteric pathogen management guidelines</w:t>
            </w:r>
          </w:p>
        </w:tc>
        <w:tc>
          <w:tcPr>
            <w:tcW w:w="4517" w:type="dxa"/>
            <w:tcBorders>
              <w:top w:val="single" w:sz="4" w:space="0" w:color="auto"/>
              <w:left w:val="single" w:sz="4" w:space="0" w:color="auto"/>
              <w:bottom w:val="single" w:sz="4" w:space="0" w:color="auto"/>
              <w:right w:val="single" w:sz="4" w:space="0" w:color="auto"/>
            </w:tcBorders>
          </w:tcPr>
          <w:p w14:paraId="731E9675" w14:textId="77777777" w:rsidR="00346FC6" w:rsidRPr="00A72C3A" w:rsidRDefault="00346FC6" w:rsidP="009C0564">
            <w:pPr>
              <w:pStyle w:val="NormalWeb"/>
              <w:shd w:val="clear" w:color="auto" w:fill="FFFFFF"/>
              <w:spacing w:line="270" w:lineRule="atLeast"/>
              <w:rPr>
                <w:rFonts w:ascii="Calibri" w:hAnsi="Calibri" w:cs="Calibri"/>
                <w:color w:val="000000" w:themeColor="text1"/>
                <w:sz w:val="22"/>
                <w:szCs w:val="22"/>
              </w:rPr>
            </w:pPr>
          </w:p>
        </w:tc>
      </w:tr>
      <w:tr w:rsidR="00A72C3A" w:rsidRPr="003F12D8" w14:paraId="3A9A70FE" w14:textId="77777777" w:rsidTr="00A72C3A">
        <w:trPr>
          <w:trHeight w:val="251"/>
        </w:trPr>
        <w:tc>
          <w:tcPr>
            <w:tcW w:w="0" w:type="auto"/>
            <w:tcBorders>
              <w:top w:val="single" w:sz="4" w:space="0" w:color="auto"/>
              <w:left w:val="single" w:sz="4" w:space="0" w:color="auto"/>
              <w:bottom w:val="single" w:sz="4" w:space="0" w:color="auto"/>
              <w:right w:val="single" w:sz="4" w:space="0" w:color="auto"/>
            </w:tcBorders>
          </w:tcPr>
          <w:p w14:paraId="4B0613E4" w14:textId="5AB71B42" w:rsidR="00346FC6" w:rsidRPr="003F12D8" w:rsidRDefault="00346FC6" w:rsidP="00A72C3A">
            <w:pPr>
              <w:rPr>
                <w:rFonts w:ascii="Calibri" w:hAnsi="Calibri" w:cs="Calibri"/>
                <w:bCs/>
              </w:rPr>
            </w:pPr>
            <w:r w:rsidRPr="003F12D8">
              <w:rPr>
                <w:rFonts w:ascii="Calibri" w:hAnsi="Calibri" w:cs="Calibri"/>
                <w:bCs/>
              </w:rPr>
              <w:t>Proctitis – likely to be non-infectious</w:t>
            </w:r>
          </w:p>
        </w:tc>
        <w:tc>
          <w:tcPr>
            <w:tcW w:w="0" w:type="auto"/>
            <w:tcBorders>
              <w:top w:val="single" w:sz="4" w:space="0" w:color="auto"/>
              <w:left w:val="single" w:sz="4" w:space="0" w:color="auto"/>
              <w:bottom w:val="single" w:sz="4" w:space="0" w:color="auto"/>
              <w:right w:val="single" w:sz="4" w:space="0" w:color="auto"/>
            </w:tcBorders>
          </w:tcPr>
          <w:p w14:paraId="433601B2" w14:textId="0C11B8CC" w:rsidR="00346FC6" w:rsidRPr="00A72C3A" w:rsidRDefault="00346FC6" w:rsidP="00346FC6">
            <w:pPr>
              <w:textAlignment w:val="baseline"/>
              <w:rPr>
                <w:rFonts w:ascii="Calibri" w:eastAsia="Times New Roman" w:hAnsi="Calibri" w:cs="Calibri"/>
                <w:color w:val="000000" w:themeColor="text1"/>
                <w:sz w:val="23"/>
                <w:szCs w:val="23"/>
              </w:rPr>
            </w:pPr>
          </w:p>
        </w:tc>
        <w:tc>
          <w:tcPr>
            <w:tcW w:w="4517" w:type="dxa"/>
            <w:tcBorders>
              <w:top w:val="single" w:sz="4" w:space="0" w:color="auto"/>
              <w:left w:val="single" w:sz="4" w:space="0" w:color="auto"/>
              <w:bottom w:val="single" w:sz="4" w:space="0" w:color="auto"/>
              <w:right w:val="single" w:sz="4" w:space="0" w:color="auto"/>
            </w:tcBorders>
          </w:tcPr>
          <w:p w14:paraId="09EBEAC6" w14:textId="62902537" w:rsidR="00346FC6" w:rsidRPr="00A72C3A" w:rsidRDefault="00771B30" w:rsidP="009C0564">
            <w:pPr>
              <w:pStyle w:val="NormalWeb"/>
              <w:shd w:val="clear" w:color="auto" w:fill="FFFFFF"/>
              <w:spacing w:line="270" w:lineRule="atLeast"/>
              <w:rPr>
                <w:rFonts w:ascii="Calibri" w:hAnsi="Calibri" w:cs="Calibri"/>
                <w:color w:val="000000" w:themeColor="text1"/>
                <w:sz w:val="22"/>
                <w:szCs w:val="22"/>
              </w:rPr>
            </w:pPr>
            <w:r w:rsidRPr="00A72C3A">
              <w:rPr>
                <w:rFonts w:ascii="Calibri" w:hAnsi="Calibri" w:cs="Calibri"/>
                <w:color w:val="000000" w:themeColor="text1"/>
                <w:sz w:val="22"/>
                <w:szCs w:val="22"/>
              </w:rPr>
              <w:t>Refer to gastroenterologist</w:t>
            </w:r>
            <w:r w:rsidR="001343A9" w:rsidRPr="00A72C3A">
              <w:rPr>
                <w:rFonts w:ascii="Calibri" w:hAnsi="Calibri" w:cs="Calibri"/>
                <w:color w:val="000000" w:themeColor="text1"/>
                <w:sz w:val="22"/>
                <w:szCs w:val="22"/>
              </w:rPr>
              <w:t xml:space="preserve"> if suspect inflammatory bowel disease</w:t>
            </w:r>
            <w:r w:rsidR="000D16C6" w:rsidRPr="00A72C3A">
              <w:rPr>
                <w:rFonts w:ascii="Calibri" w:hAnsi="Calibri" w:cs="Calibri"/>
                <w:color w:val="000000" w:themeColor="text1"/>
                <w:sz w:val="22"/>
                <w:szCs w:val="22"/>
              </w:rPr>
              <w:t>.</w:t>
            </w:r>
          </w:p>
        </w:tc>
      </w:tr>
    </w:tbl>
    <w:p w14:paraId="20DDEB9E" w14:textId="15768855" w:rsidR="00097D8F" w:rsidRPr="003F12D8" w:rsidRDefault="00097D8F" w:rsidP="002066E0">
      <w:pPr>
        <w:spacing w:after="120" w:line="312" w:lineRule="atLeast"/>
        <w:textAlignment w:val="baseline"/>
        <w:rPr>
          <w:rFonts w:ascii="Calibri" w:hAnsi="Calibri" w:cs="Calibri"/>
          <w:color w:val="00527D"/>
          <w:sz w:val="22"/>
          <w:szCs w:val="22"/>
        </w:rPr>
      </w:pPr>
      <w:r w:rsidRPr="003F12D8">
        <w:rPr>
          <w:rFonts w:ascii="Calibri" w:hAnsi="Calibri" w:cs="Calibri"/>
          <w:color w:val="00527D"/>
          <w:sz w:val="22"/>
          <w:szCs w:val="22"/>
        </w:rPr>
        <w:br/>
      </w:r>
    </w:p>
    <w:p w14:paraId="42EC6A2F" w14:textId="77777777" w:rsidR="0016004D" w:rsidRPr="00A72C3A" w:rsidRDefault="0016004D" w:rsidP="0016004D">
      <w:pPr>
        <w:pStyle w:val="Heading2"/>
        <w:rPr>
          <w:rFonts w:ascii="Calibri" w:hAnsi="Calibri" w:cs="Calibri"/>
          <w:color w:val="000000" w:themeColor="text1"/>
        </w:rPr>
      </w:pPr>
      <w:r w:rsidRPr="00A72C3A">
        <w:rPr>
          <w:rFonts w:ascii="Calibri" w:hAnsi="Calibri" w:cs="Calibri"/>
          <w:color w:val="000000" w:themeColor="text1"/>
        </w:rPr>
        <w:t>Sexual partners</w:t>
      </w:r>
    </w:p>
    <w:p w14:paraId="39EF55F9" w14:textId="77777777" w:rsidR="0016004D" w:rsidRPr="00A72C3A" w:rsidRDefault="0016004D" w:rsidP="00A72C3A">
      <w:pPr>
        <w:pStyle w:val="ListParagraph"/>
        <w:numPr>
          <w:ilvl w:val="0"/>
          <w:numId w:val="9"/>
        </w:numPr>
        <w:spacing w:after="120" w:line="312" w:lineRule="atLeast"/>
        <w:textAlignment w:val="baseline"/>
        <w:rPr>
          <w:rFonts w:ascii="Calibri" w:hAnsi="Calibri" w:cs="Calibri"/>
          <w:color w:val="000000" w:themeColor="text1"/>
          <w:sz w:val="22"/>
          <w:szCs w:val="22"/>
        </w:rPr>
      </w:pPr>
      <w:r w:rsidRPr="00A72C3A">
        <w:rPr>
          <w:rFonts w:ascii="Calibri" w:hAnsi="Calibri" w:cs="Calibri"/>
          <w:color w:val="000000" w:themeColor="text1"/>
          <w:sz w:val="22"/>
          <w:szCs w:val="22"/>
        </w:rPr>
        <w:t xml:space="preserve">Where chlamydia, gonorrhoea, </w:t>
      </w:r>
      <w:r w:rsidRPr="00A72C3A">
        <w:rPr>
          <w:rFonts w:ascii="Calibri" w:hAnsi="Calibri" w:cs="Calibri"/>
          <w:i/>
          <w:color w:val="000000" w:themeColor="text1"/>
          <w:sz w:val="22"/>
          <w:szCs w:val="22"/>
        </w:rPr>
        <w:t>M. genitalium</w:t>
      </w:r>
      <w:r w:rsidRPr="00A72C3A">
        <w:rPr>
          <w:rFonts w:ascii="Calibri" w:hAnsi="Calibri" w:cs="Calibri"/>
          <w:color w:val="000000" w:themeColor="text1"/>
          <w:sz w:val="22"/>
          <w:szCs w:val="22"/>
        </w:rPr>
        <w:t xml:space="preserve"> or LGV are identified, sexual partners should be notified with the relevant empirical treatment offered to those contacts.</w:t>
      </w:r>
    </w:p>
    <w:p w14:paraId="4E24C2EB" w14:textId="5F687305" w:rsidR="00097D8F" w:rsidRPr="003F12D8" w:rsidRDefault="00097D8F" w:rsidP="002066E0">
      <w:pPr>
        <w:spacing w:after="120" w:line="312" w:lineRule="atLeast"/>
        <w:textAlignment w:val="baseline"/>
        <w:rPr>
          <w:rFonts w:ascii="Calibri" w:eastAsia="Times New Roman" w:hAnsi="Calibri" w:cs="Calibri"/>
          <w:b/>
          <w:bCs/>
          <w:color w:val="2F649A"/>
          <w:sz w:val="26"/>
          <w:szCs w:val="26"/>
        </w:rPr>
      </w:pPr>
      <w:r w:rsidRPr="003F12D8">
        <w:rPr>
          <w:rFonts w:ascii="Calibri" w:hAnsi="Calibri" w:cs="Calibri"/>
          <w:color w:val="00527D"/>
          <w:sz w:val="22"/>
          <w:szCs w:val="22"/>
        </w:rPr>
        <w:br/>
      </w:r>
    </w:p>
    <w:p w14:paraId="73569399" w14:textId="74FDC41A" w:rsidR="00097D8F" w:rsidRPr="003F12D8" w:rsidRDefault="00097D8F" w:rsidP="002066E0">
      <w:pPr>
        <w:spacing w:line="312" w:lineRule="atLeast"/>
        <w:textAlignment w:val="baseline"/>
        <w:rPr>
          <w:rFonts w:ascii="Calibri" w:hAnsi="Calibri" w:cs="Calibri"/>
          <w:color w:val="00527D"/>
          <w:sz w:val="22"/>
          <w:szCs w:val="22"/>
        </w:rPr>
      </w:pPr>
      <w:r w:rsidRPr="003F12D8">
        <w:rPr>
          <w:rFonts w:ascii="Calibri" w:hAnsi="Calibri" w:cs="Calibri"/>
          <w:i/>
          <w:iCs/>
          <w:color w:val="00527D"/>
          <w:sz w:val="20"/>
          <w:szCs w:val="20"/>
          <w:bdr w:val="none" w:sz="0" w:space="0" w:color="auto" w:frame="1"/>
        </w:rPr>
        <w:t xml:space="preserve">Last Updated </w:t>
      </w:r>
      <w:r w:rsidR="0016004D" w:rsidRPr="003F12D8">
        <w:rPr>
          <w:rFonts w:ascii="Calibri" w:hAnsi="Calibri" w:cs="Calibri"/>
          <w:i/>
          <w:iCs/>
          <w:color w:val="00527D"/>
          <w:sz w:val="20"/>
          <w:szCs w:val="20"/>
          <w:bdr w:val="none" w:sz="0" w:space="0" w:color="auto" w:frame="1"/>
        </w:rPr>
        <w:t>December 2020</w:t>
      </w:r>
    </w:p>
    <w:p w14:paraId="5B6959CE" w14:textId="77777777" w:rsidR="00584043" w:rsidRPr="003F12D8" w:rsidRDefault="00584043" w:rsidP="002066E0">
      <w:pPr>
        <w:rPr>
          <w:rFonts w:ascii="Calibri" w:hAnsi="Calibri" w:cs="Calibri"/>
        </w:rPr>
      </w:pPr>
    </w:p>
    <w:sectPr w:rsidR="00584043" w:rsidRPr="003F12D8" w:rsidSect="00097D8F">
      <w:headerReference w:type="default" r:id="rId7"/>
      <w:pgSz w:w="11900" w:h="16840"/>
      <w:pgMar w:top="1440" w:right="985"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EB02F8" w14:textId="77777777" w:rsidR="00F21969" w:rsidRDefault="00F21969" w:rsidP="00FB7D05">
      <w:r>
        <w:separator/>
      </w:r>
    </w:p>
  </w:endnote>
  <w:endnote w:type="continuationSeparator" w:id="0">
    <w:p w14:paraId="16F0518A" w14:textId="77777777" w:rsidR="00F21969" w:rsidRDefault="00F21969" w:rsidP="00FB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F6C6E" w14:textId="77777777" w:rsidR="00F21969" w:rsidRDefault="00F21969" w:rsidP="00FB7D05">
      <w:r>
        <w:separator/>
      </w:r>
    </w:p>
  </w:footnote>
  <w:footnote w:type="continuationSeparator" w:id="0">
    <w:p w14:paraId="525F9A86" w14:textId="77777777" w:rsidR="00F21969" w:rsidRDefault="00F21969" w:rsidP="00FB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E0DC9" w14:textId="77777777" w:rsidR="00FB7D05" w:rsidRPr="00F00500" w:rsidRDefault="00FB7D05" w:rsidP="00FB7D05">
    <w:pPr>
      <w:pStyle w:val="Header"/>
      <w:jc w:val="right"/>
      <w:rPr>
        <w:rFonts w:ascii="Arial" w:hAnsi="Arial" w:cs="Arial"/>
        <w:b/>
        <w:bCs/>
      </w:rPr>
    </w:pPr>
    <w:r>
      <w:rPr>
        <w:rFonts w:ascii="Arial" w:hAnsi="Arial" w:cs="Arial"/>
        <w:noProof/>
      </w:rPr>
      <w:drawing>
        <wp:anchor distT="0" distB="0" distL="114300" distR="114300" simplePos="0" relativeHeight="251659264" behindDoc="1" locked="0" layoutInCell="1" allowOverlap="1" wp14:anchorId="7313AFD5" wp14:editId="554D7A16">
          <wp:simplePos x="0" y="0"/>
          <wp:positionH relativeFrom="column">
            <wp:posOffset>-66675</wp:posOffset>
          </wp:positionH>
          <wp:positionV relativeFrom="paragraph">
            <wp:posOffset>-192405</wp:posOffset>
          </wp:positionV>
          <wp:extent cx="1981200" cy="630567"/>
          <wp:effectExtent l="0" t="0" r="0" b="444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2546" cy="634178"/>
                  </a:xfrm>
                  <a:prstGeom prst="rect">
                    <a:avLst/>
                  </a:prstGeom>
                </pic:spPr>
              </pic:pic>
            </a:graphicData>
          </a:graphic>
          <wp14:sizeRelH relativeFrom="page">
            <wp14:pctWidth>0</wp14:pctWidth>
          </wp14:sizeRelH>
          <wp14:sizeRelV relativeFrom="page">
            <wp14:pctHeight>0</wp14:pctHeight>
          </wp14:sizeRelV>
        </wp:anchor>
      </w:drawing>
    </w:r>
    <w:r w:rsidRPr="00F00500">
      <w:rPr>
        <w:rFonts w:ascii="Arial" w:hAnsi="Arial" w:cs="Arial"/>
      </w:rPr>
      <w:t xml:space="preserve">Melbourne Sexual Health Centre </w:t>
    </w:r>
    <w:r w:rsidRPr="00F00500">
      <w:rPr>
        <w:rFonts w:ascii="Arial" w:hAnsi="Arial" w:cs="Arial"/>
        <w:b/>
        <w:bCs/>
      </w:rPr>
      <w:t>Treatment Guidelines</w:t>
    </w:r>
  </w:p>
  <w:p w14:paraId="7CC7A58D" w14:textId="77777777" w:rsidR="00FB7D05" w:rsidRDefault="00FB7D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91EE0"/>
    <w:multiLevelType w:val="multilevel"/>
    <w:tmpl w:val="39BC49B8"/>
    <w:lvl w:ilvl="0">
      <w:start w:val="1"/>
      <w:numFmt w:val="bullet"/>
      <w:lvlText w:val=""/>
      <w:lvlJc w:val="left"/>
      <w:pPr>
        <w:tabs>
          <w:tab w:val="num" w:pos="1242"/>
        </w:tabs>
        <w:ind w:left="1242" w:hanging="360"/>
      </w:pPr>
      <w:rPr>
        <w:rFonts w:ascii="Symbol" w:hAnsi="Symbol" w:hint="default"/>
        <w:sz w:val="20"/>
      </w:rPr>
    </w:lvl>
    <w:lvl w:ilvl="1" w:tentative="1">
      <w:start w:val="1"/>
      <w:numFmt w:val="bullet"/>
      <w:lvlText w:val="o"/>
      <w:lvlJc w:val="left"/>
      <w:pPr>
        <w:tabs>
          <w:tab w:val="num" w:pos="1962"/>
        </w:tabs>
        <w:ind w:left="1962" w:hanging="360"/>
      </w:pPr>
      <w:rPr>
        <w:rFonts w:ascii="Courier New" w:hAnsi="Courier New" w:hint="default"/>
        <w:sz w:val="20"/>
      </w:rPr>
    </w:lvl>
    <w:lvl w:ilvl="2" w:tentative="1">
      <w:start w:val="1"/>
      <w:numFmt w:val="bullet"/>
      <w:lvlText w:val=""/>
      <w:lvlJc w:val="left"/>
      <w:pPr>
        <w:tabs>
          <w:tab w:val="num" w:pos="2682"/>
        </w:tabs>
        <w:ind w:left="2682" w:hanging="360"/>
      </w:pPr>
      <w:rPr>
        <w:rFonts w:ascii="Wingdings" w:hAnsi="Wingdings" w:hint="default"/>
        <w:sz w:val="20"/>
      </w:rPr>
    </w:lvl>
    <w:lvl w:ilvl="3" w:tentative="1">
      <w:start w:val="1"/>
      <w:numFmt w:val="bullet"/>
      <w:lvlText w:val=""/>
      <w:lvlJc w:val="left"/>
      <w:pPr>
        <w:tabs>
          <w:tab w:val="num" w:pos="3402"/>
        </w:tabs>
        <w:ind w:left="3402" w:hanging="360"/>
      </w:pPr>
      <w:rPr>
        <w:rFonts w:ascii="Wingdings" w:hAnsi="Wingdings" w:hint="default"/>
        <w:sz w:val="20"/>
      </w:rPr>
    </w:lvl>
    <w:lvl w:ilvl="4" w:tentative="1">
      <w:start w:val="1"/>
      <w:numFmt w:val="bullet"/>
      <w:lvlText w:val=""/>
      <w:lvlJc w:val="left"/>
      <w:pPr>
        <w:tabs>
          <w:tab w:val="num" w:pos="4122"/>
        </w:tabs>
        <w:ind w:left="4122" w:hanging="360"/>
      </w:pPr>
      <w:rPr>
        <w:rFonts w:ascii="Wingdings" w:hAnsi="Wingdings" w:hint="default"/>
        <w:sz w:val="20"/>
      </w:rPr>
    </w:lvl>
    <w:lvl w:ilvl="5" w:tentative="1">
      <w:start w:val="1"/>
      <w:numFmt w:val="bullet"/>
      <w:lvlText w:val=""/>
      <w:lvlJc w:val="left"/>
      <w:pPr>
        <w:tabs>
          <w:tab w:val="num" w:pos="4842"/>
        </w:tabs>
        <w:ind w:left="4842" w:hanging="360"/>
      </w:pPr>
      <w:rPr>
        <w:rFonts w:ascii="Wingdings" w:hAnsi="Wingdings" w:hint="default"/>
        <w:sz w:val="20"/>
      </w:rPr>
    </w:lvl>
    <w:lvl w:ilvl="6" w:tentative="1">
      <w:start w:val="1"/>
      <w:numFmt w:val="bullet"/>
      <w:lvlText w:val=""/>
      <w:lvlJc w:val="left"/>
      <w:pPr>
        <w:tabs>
          <w:tab w:val="num" w:pos="5562"/>
        </w:tabs>
        <w:ind w:left="5562" w:hanging="360"/>
      </w:pPr>
      <w:rPr>
        <w:rFonts w:ascii="Wingdings" w:hAnsi="Wingdings" w:hint="default"/>
        <w:sz w:val="20"/>
      </w:rPr>
    </w:lvl>
    <w:lvl w:ilvl="7" w:tentative="1">
      <w:start w:val="1"/>
      <w:numFmt w:val="bullet"/>
      <w:lvlText w:val=""/>
      <w:lvlJc w:val="left"/>
      <w:pPr>
        <w:tabs>
          <w:tab w:val="num" w:pos="6282"/>
        </w:tabs>
        <w:ind w:left="6282" w:hanging="360"/>
      </w:pPr>
      <w:rPr>
        <w:rFonts w:ascii="Wingdings" w:hAnsi="Wingdings" w:hint="default"/>
        <w:sz w:val="20"/>
      </w:rPr>
    </w:lvl>
    <w:lvl w:ilvl="8" w:tentative="1">
      <w:start w:val="1"/>
      <w:numFmt w:val="bullet"/>
      <w:lvlText w:val=""/>
      <w:lvlJc w:val="left"/>
      <w:pPr>
        <w:tabs>
          <w:tab w:val="num" w:pos="7002"/>
        </w:tabs>
        <w:ind w:left="7002" w:hanging="360"/>
      </w:pPr>
      <w:rPr>
        <w:rFonts w:ascii="Wingdings" w:hAnsi="Wingdings" w:hint="default"/>
        <w:sz w:val="20"/>
      </w:rPr>
    </w:lvl>
  </w:abstractNum>
  <w:abstractNum w:abstractNumId="1" w15:restartNumberingAfterBreak="0">
    <w:nsid w:val="0B9C12B6"/>
    <w:multiLevelType w:val="hybridMultilevel"/>
    <w:tmpl w:val="FEF82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34385"/>
    <w:multiLevelType w:val="hybridMultilevel"/>
    <w:tmpl w:val="27F08F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6D08DC"/>
    <w:multiLevelType w:val="multilevel"/>
    <w:tmpl w:val="105CF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EE0A7E"/>
    <w:multiLevelType w:val="multilevel"/>
    <w:tmpl w:val="6A747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0E1FC4"/>
    <w:multiLevelType w:val="hybridMultilevel"/>
    <w:tmpl w:val="53AC84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DF10DBD"/>
    <w:multiLevelType w:val="multilevel"/>
    <w:tmpl w:val="7D7471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D80736"/>
    <w:multiLevelType w:val="multilevel"/>
    <w:tmpl w:val="9AA8C4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0D757B"/>
    <w:multiLevelType w:val="multilevel"/>
    <w:tmpl w:val="708C4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3"/>
  </w:num>
  <w:num w:numId="4">
    <w:abstractNumId w:val="6"/>
  </w:num>
  <w:num w:numId="5">
    <w:abstractNumId w:val="8"/>
  </w:num>
  <w:num w:numId="6">
    <w:abstractNumId w:val="5"/>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D8F"/>
    <w:rsid w:val="00065F87"/>
    <w:rsid w:val="00097D8F"/>
    <w:rsid w:val="000B2D62"/>
    <w:rsid w:val="000D16C6"/>
    <w:rsid w:val="000F00B3"/>
    <w:rsid w:val="001209CE"/>
    <w:rsid w:val="001343A9"/>
    <w:rsid w:val="001458A6"/>
    <w:rsid w:val="0016004D"/>
    <w:rsid w:val="001A0E7A"/>
    <w:rsid w:val="002066E0"/>
    <w:rsid w:val="00281B86"/>
    <w:rsid w:val="003153CD"/>
    <w:rsid w:val="003335D4"/>
    <w:rsid w:val="00346FC6"/>
    <w:rsid w:val="003A5662"/>
    <w:rsid w:val="003C2CFE"/>
    <w:rsid w:val="003F12D8"/>
    <w:rsid w:val="004346C2"/>
    <w:rsid w:val="00584043"/>
    <w:rsid w:val="005B0647"/>
    <w:rsid w:val="00607484"/>
    <w:rsid w:val="00771B30"/>
    <w:rsid w:val="007B2FB7"/>
    <w:rsid w:val="00806466"/>
    <w:rsid w:val="008B7A75"/>
    <w:rsid w:val="009A5EEF"/>
    <w:rsid w:val="00A622DA"/>
    <w:rsid w:val="00A72C3A"/>
    <w:rsid w:val="00AD7E51"/>
    <w:rsid w:val="00B32559"/>
    <w:rsid w:val="00D8031C"/>
    <w:rsid w:val="00DD5EBA"/>
    <w:rsid w:val="00DF2D1E"/>
    <w:rsid w:val="00E36B0B"/>
    <w:rsid w:val="00EC2F70"/>
    <w:rsid w:val="00F21969"/>
    <w:rsid w:val="00F946D5"/>
    <w:rsid w:val="00FB7D0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AFA1B"/>
  <w14:defaultImageDpi w14:val="300"/>
  <w15:docId w15:val="{0C25BC85-0336-4B98-B3F8-F82037348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7D8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6004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link w:val="Heading6Char"/>
    <w:uiPriority w:val="9"/>
    <w:qFormat/>
    <w:rsid w:val="00097D8F"/>
    <w:pPr>
      <w:spacing w:before="100" w:beforeAutospacing="1" w:after="100" w:afterAutospacing="1"/>
      <w:outlineLvl w:val="5"/>
    </w:pPr>
    <w:rPr>
      <w:rFonts w:ascii="Times New Roman" w:hAnsi="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097D8F"/>
    <w:rPr>
      <w:rFonts w:ascii="Times New Roman" w:hAnsi="Times New Roman"/>
      <w:b/>
      <w:bCs/>
      <w:sz w:val="15"/>
      <w:szCs w:val="15"/>
    </w:rPr>
  </w:style>
  <w:style w:type="paragraph" w:styleId="NormalWeb">
    <w:name w:val="Normal (Web)"/>
    <w:basedOn w:val="Normal"/>
    <w:uiPriority w:val="99"/>
    <w:unhideWhenUsed/>
    <w:rsid w:val="00097D8F"/>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DefaultParagraphFont"/>
    <w:rsid w:val="00097D8F"/>
  </w:style>
  <w:style w:type="character" w:customStyle="1" w:styleId="dnnformmessage">
    <w:name w:val="dnnformmessage"/>
    <w:basedOn w:val="DefaultParagraphFont"/>
    <w:rsid w:val="00097D8F"/>
  </w:style>
  <w:style w:type="character" w:styleId="Strong">
    <w:name w:val="Strong"/>
    <w:basedOn w:val="DefaultParagraphFont"/>
    <w:uiPriority w:val="22"/>
    <w:qFormat/>
    <w:rsid w:val="00097D8F"/>
    <w:rPr>
      <w:b/>
      <w:bCs/>
    </w:rPr>
  </w:style>
  <w:style w:type="character" w:styleId="Emphasis">
    <w:name w:val="Emphasis"/>
    <w:basedOn w:val="DefaultParagraphFont"/>
    <w:uiPriority w:val="20"/>
    <w:qFormat/>
    <w:rsid w:val="00097D8F"/>
    <w:rPr>
      <w:i/>
      <w:iCs/>
    </w:rPr>
  </w:style>
  <w:style w:type="character" w:customStyle="1" w:styleId="Heading1Char">
    <w:name w:val="Heading 1 Char"/>
    <w:basedOn w:val="DefaultParagraphFont"/>
    <w:link w:val="Heading1"/>
    <w:uiPriority w:val="9"/>
    <w:rsid w:val="00097D8F"/>
    <w:rPr>
      <w:rFonts w:asciiTheme="majorHAnsi" w:eastAsiaTheme="majorEastAsia" w:hAnsiTheme="majorHAnsi" w:cstheme="majorBidi"/>
      <w:b/>
      <w:bCs/>
      <w:color w:val="345A8A" w:themeColor="accent1" w:themeShade="B5"/>
      <w:sz w:val="32"/>
      <w:szCs w:val="32"/>
    </w:rPr>
  </w:style>
  <w:style w:type="character" w:styleId="CommentReference">
    <w:name w:val="annotation reference"/>
    <w:basedOn w:val="DefaultParagraphFont"/>
    <w:uiPriority w:val="99"/>
    <w:semiHidden/>
    <w:unhideWhenUsed/>
    <w:rsid w:val="00AD7E51"/>
    <w:rPr>
      <w:sz w:val="16"/>
      <w:szCs w:val="16"/>
    </w:rPr>
  </w:style>
  <w:style w:type="paragraph" w:styleId="CommentText">
    <w:name w:val="annotation text"/>
    <w:basedOn w:val="Normal"/>
    <w:link w:val="CommentTextChar"/>
    <w:uiPriority w:val="99"/>
    <w:semiHidden/>
    <w:unhideWhenUsed/>
    <w:rsid w:val="00AD7E51"/>
    <w:rPr>
      <w:sz w:val="20"/>
      <w:szCs w:val="20"/>
    </w:rPr>
  </w:style>
  <w:style w:type="character" w:customStyle="1" w:styleId="CommentTextChar">
    <w:name w:val="Comment Text Char"/>
    <w:basedOn w:val="DefaultParagraphFont"/>
    <w:link w:val="CommentText"/>
    <w:uiPriority w:val="99"/>
    <w:semiHidden/>
    <w:rsid w:val="00AD7E51"/>
    <w:rPr>
      <w:sz w:val="20"/>
      <w:szCs w:val="20"/>
    </w:rPr>
  </w:style>
  <w:style w:type="paragraph" w:styleId="BalloonText">
    <w:name w:val="Balloon Text"/>
    <w:basedOn w:val="Normal"/>
    <w:link w:val="BalloonTextChar"/>
    <w:uiPriority w:val="99"/>
    <w:semiHidden/>
    <w:unhideWhenUsed/>
    <w:rsid w:val="00AD7E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E5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8031C"/>
    <w:rPr>
      <w:b/>
      <w:bCs/>
    </w:rPr>
  </w:style>
  <w:style w:type="character" w:customStyle="1" w:styleId="CommentSubjectChar">
    <w:name w:val="Comment Subject Char"/>
    <w:basedOn w:val="CommentTextChar"/>
    <w:link w:val="CommentSubject"/>
    <w:uiPriority w:val="99"/>
    <w:semiHidden/>
    <w:rsid w:val="00D8031C"/>
    <w:rPr>
      <w:b/>
      <w:bCs/>
      <w:sz w:val="20"/>
      <w:szCs w:val="20"/>
    </w:rPr>
  </w:style>
  <w:style w:type="paragraph" w:styleId="Title">
    <w:name w:val="Title"/>
    <w:basedOn w:val="Normal"/>
    <w:next w:val="Normal"/>
    <w:link w:val="TitleChar"/>
    <w:uiPriority w:val="10"/>
    <w:qFormat/>
    <w:rsid w:val="00E36B0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6B0B"/>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E36B0B"/>
    <w:pPr>
      <w:ind w:left="720"/>
      <w:contextualSpacing/>
    </w:pPr>
  </w:style>
  <w:style w:type="paragraph" w:styleId="BodyText">
    <w:name w:val="Body Text"/>
    <w:basedOn w:val="Normal"/>
    <w:link w:val="BodyTextChar"/>
    <w:uiPriority w:val="1"/>
    <w:qFormat/>
    <w:rsid w:val="00346FC6"/>
    <w:pPr>
      <w:widowControl w:val="0"/>
      <w:autoSpaceDE w:val="0"/>
      <w:autoSpaceDN w:val="0"/>
    </w:pPr>
    <w:rPr>
      <w:rFonts w:ascii="Arial" w:eastAsia="Arial" w:hAnsi="Arial" w:cs="Arial"/>
      <w:sz w:val="20"/>
      <w:szCs w:val="20"/>
      <w:lang w:val="en-US"/>
    </w:rPr>
  </w:style>
  <w:style w:type="character" w:customStyle="1" w:styleId="BodyTextChar">
    <w:name w:val="Body Text Char"/>
    <w:basedOn w:val="DefaultParagraphFont"/>
    <w:link w:val="BodyText"/>
    <w:uiPriority w:val="1"/>
    <w:rsid w:val="00346FC6"/>
    <w:rPr>
      <w:rFonts w:ascii="Arial" w:eastAsia="Arial" w:hAnsi="Arial" w:cs="Arial"/>
      <w:sz w:val="20"/>
      <w:szCs w:val="20"/>
      <w:lang w:val="en-US"/>
    </w:rPr>
  </w:style>
  <w:style w:type="character" w:customStyle="1" w:styleId="Heading2Char">
    <w:name w:val="Heading 2 Char"/>
    <w:basedOn w:val="DefaultParagraphFont"/>
    <w:link w:val="Heading2"/>
    <w:uiPriority w:val="9"/>
    <w:rsid w:val="0016004D"/>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FB7D05"/>
    <w:pPr>
      <w:tabs>
        <w:tab w:val="center" w:pos="4513"/>
        <w:tab w:val="right" w:pos="9026"/>
      </w:tabs>
    </w:pPr>
  </w:style>
  <w:style w:type="character" w:customStyle="1" w:styleId="HeaderChar">
    <w:name w:val="Header Char"/>
    <w:basedOn w:val="DefaultParagraphFont"/>
    <w:link w:val="Header"/>
    <w:uiPriority w:val="99"/>
    <w:rsid w:val="00FB7D05"/>
  </w:style>
  <w:style w:type="paragraph" w:styleId="Footer">
    <w:name w:val="footer"/>
    <w:basedOn w:val="Normal"/>
    <w:link w:val="FooterChar"/>
    <w:uiPriority w:val="99"/>
    <w:unhideWhenUsed/>
    <w:rsid w:val="00FB7D05"/>
    <w:pPr>
      <w:tabs>
        <w:tab w:val="center" w:pos="4513"/>
        <w:tab w:val="right" w:pos="9026"/>
      </w:tabs>
    </w:pPr>
  </w:style>
  <w:style w:type="character" w:customStyle="1" w:styleId="FooterChar">
    <w:name w:val="Footer Char"/>
    <w:basedOn w:val="DefaultParagraphFont"/>
    <w:link w:val="Footer"/>
    <w:uiPriority w:val="99"/>
    <w:rsid w:val="00FB7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451755">
      <w:bodyDiv w:val="1"/>
      <w:marLeft w:val="0"/>
      <w:marRight w:val="0"/>
      <w:marTop w:val="0"/>
      <w:marBottom w:val="0"/>
      <w:divBdr>
        <w:top w:val="none" w:sz="0" w:space="0" w:color="auto"/>
        <w:left w:val="none" w:sz="0" w:space="0" w:color="auto"/>
        <w:bottom w:val="none" w:sz="0" w:space="0" w:color="auto"/>
        <w:right w:val="none" w:sz="0" w:space="0" w:color="auto"/>
      </w:divBdr>
    </w:div>
    <w:div w:id="8432820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Proctitis</vt:lpstr>
    </vt:vector>
  </TitlesOfParts>
  <Manager/>
  <Company>Melbourne Sexual Health Centre</Company>
  <LinksUpToDate>false</LinksUpToDate>
  <CharactersWithSpaces>4356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Proctitis</dc:title>
  <dc:subject/>
  <dc:creator>MSHC Alfred Health</dc:creator>
  <cp:keywords/>
  <dc:description/>
  <cp:lastModifiedBy>Chung, Mark</cp:lastModifiedBy>
  <cp:revision>14</cp:revision>
  <dcterms:created xsi:type="dcterms:W3CDTF">2020-11-03T08:55:00Z</dcterms:created>
  <dcterms:modified xsi:type="dcterms:W3CDTF">2021-02-09T05:25:00Z</dcterms:modified>
  <cp:category/>
</cp:coreProperties>
</file>