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B4152" w14:textId="27154EC8" w:rsidR="009631D2" w:rsidRPr="00F93294" w:rsidRDefault="009631D2" w:rsidP="00F93294">
      <w:pPr>
        <w:pStyle w:val="Title"/>
        <w:ind w:right="-142"/>
        <w:rPr>
          <w:rFonts w:ascii="Arial" w:hAnsi="Arial" w:cs="Arial"/>
          <w:color w:val="000000" w:themeColor="text1"/>
          <w:sz w:val="36"/>
          <w:szCs w:val="36"/>
        </w:rPr>
      </w:pPr>
      <w:r w:rsidRPr="00F93294">
        <w:rPr>
          <w:rFonts w:ascii="Arial" w:hAnsi="Arial" w:cs="Arial"/>
          <w:color w:val="000000" w:themeColor="text1"/>
          <w:sz w:val="36"/>
          <w:szCs w:val="36"/>
        </w:rPr>
        <w:t>Urethritis in men</w:t>
      </w:r>
    </w:p>
    <w:p w14:paraId="3395F54E" w14:textId="77777777" w:rsidR="009631D2" w:rsidRPr="00440936" w:rsidRDefault="009631D2" w:rsidP="00F93294">
      <w:pPr>
        <w:pStyle w:val="Body"/>
        <w:ind w:right="-142"/>
        <w:rPr>
          <w:rFonts w:ascii="Arial" w:hAnsi="Arial" w:cs="Arial"/>
          <w:color w:val="000000" w:themeColor="text1"/>
        </w:rPr>
      </w:pPr>
    </w:p>
    <w:p w14:paraId="1AF07765" w14:textId="777C21C0" w:rsidR="009631D2" w:rsidRPr="00F93294" w:rsidRDefault="009631D2" w:rsidP="00F93294">
      <w:pPr>
        <w:pStyle w:val="Heading1"/>
        <w:ind w:right="-142"/>
        <w:rPr>
          <w:rFonts w:ascii="Arial" w:hAnsi="Arial" w:cs="Arial"/>
          <w:b/>
          <w:bCs/>
          <w:color w:val="000000" w:themeColor="text1"/>
        </w:rPr>
      </w:pPr>
      <w:r w:rsidRPr="00F93294">
        <w:rPr>
          <w:rFonts w:ascii="Arial" w:hAnsi="Arial" w:cs="Arial"/>
          <w:b/>
          <w:bCs/>
          <w:color w:val="000000" w:themeColor="text1"/>
        </w:rPr>
        <w:t>Cause</w:t>
      </w:r>
    </w:p>
    <w:p w14:paraId="3F79AFCE" w14:textId="170DBD93" w:rsidR="009631D2" w:rsidRPr="00440936" w:rsidRDefault="00AE59C5" w:rsidP="00F93294">
      <w:pPr>
        <w:pStyle w:val="ListParagraph"/>
        <w:numPr>
          <w:ilvl w:val="0"/>
          <w:numId w:val="5"/>
        </w:numPr>
        <w:ind w:right="-142"/>
        <w:rPr>
          <w:rFonts w:ascii="Arial" w:hAnsi="Arial" w:cs="Arial"/>
          <w:color w:val="000000" w:themeColor="text1"/>
        </w:rPr>
      </w:pPr>
      <w:r w:rsidRPr="00440936">
        <w:rPr>
          <w:rFonts w:ascii="Arial" w:hAnsi="Arial" w:cs="Arial"/>
          <w:color w:val="000000" w:themeColor="text1"/>
        </w:rPr>
        <w:t>U</w:t>
      </w:r>
      <w:r w:rsidR="009631D2" w:rsidRPr="00440936">
        <w:rPr>
          <w:rFonts w:ascii="Arial" w:hAnsi="Arial" w:cs="Arial"/>
          <w:color w:val="000000" w:themeColor="text1"/>
        </w:rPr>
        <w:t>rethritis can be classified as gonococcal or non- gonococcal urethritis (NGU)</w:t>
      </w:r>
    </w:p>
    <w:p w14:paraId="17D96ED8" w14:textId="77777777" w:rsidR="009631D2" w:rsidRPr="00440936" w:rsidRDefault="009631D2" w:rsidP="00F93294">
      <w:pPr>
        <w:pStyle w:val="ListParagraph"/>
        <w:numPr>
          <w:ilvl w:val="0"/>
          <w:numId w:val="5"/>
        </w:numPr>
        <w:ind w:right="-142"/>
        <w:rPr>
          <w:rFonts w:ascii="Arial" w:hAnsi="Arial" w:cs="Arial"/>
          <w:color w:val="000000" w:themeColor="text1"/>
        </w:rPr>
      </w:pPr>
      <w:r w:rsidRPr="00440936">
        <w:rPr>
          <w:rFonts w:ascii="Arial" w:hAnsi="Arial" w:cs="Arial"/>
          <w:color w:val="000000" w:themeColor="text1"/>
        </w:rPr>
        <w:t xml:space="preserve">NGU is caused most commonly by </w:t>
      </w:r>
      <w:r w:rsidRPr="00440936">
        <w:rPr>
          <w:rFonts w:ascii="Arial" w:hAnsi="Arial" w:cs="Arial"/>
          <w:i/>
          <w:iCs/>
          <w:color w:val="000000" w:themeColor="text1"/>
        </w:rPr>
        <w:t>Chlamydia trachomatis</w:t>
      </w:r>
      <w:r w:rsidRPr="00440936">
        <w:rPr>
          <w:rFonts w:ascii="Arial" w:hAnsi="Arial" w:cs="Arial"/>
          <w:color w:val="000000" w:themeColor="text1"/>
        </w:rPr>
        <w:t xml:space="preserve"> and </w:t>
      </w:r>
      <w:r w:rsidRPr="00440936">
        <w:rPr>
          <w:rFonts w:ascii="Arial" w:hAnsi="Arial" w:cs="Arial"/>
          <w:i/>
          <w:iCs/>
          <w:color w:val="000000" w:themeColor="text1"/>
        </w:rPr>
        <w:t>Mycoplasma genitalium</w:t>
      </w:r>
      <w:r w:rsidRPr="00440936">
        <w:rPr>
          <w:rFonts w:ascii="Arial" w:hAnsi="Arial" w:cs="Arial"/>
          <w:color w:val="000000" w:themeColor="text1"/>
        </w:rPr>
        <w:t xml:space="preserve">. </w:t>
      </w:r>
    </w:p>
    <w:p w14:paraId="7D2BDEC6" w14:textId="0BD3D455" w:rsidR="009631D2" w:rsidRPr="00440936" w:rsidRDefault="009631D2" w:rsidP="00F93294">
      <w:pPr>
        <w:pStyle w:val="ListParagraph"/>
        <w:numPr>
          <w:ilvl w:val="1"/>
          <w:numId w:val="6"/>
        </w:numPr>
        <w:ind w:right="-142"/>
        <w:rPr>
          <w:rFonts w:ascii="Arial" w:hAnsi="Arial" w:cs="Arial"/>
          <w:color w:val="000000" w:themeColor="text1"/>
        </w:rPr>
      </w:pPr>
      <w:r w:rsidRPr="00440936">
        <w:rPr>
          <w:rFonts w:ascii="Arial" w:hAnsi="Arial" w:cs="Arial"/>
          <w:color w:val="000000" w:themeColor="text1"/>
        </w:rPr>
        <w:t xml:space="preserve">Herpes simplex virus, adenovirus and </w:t>
      </w:r>
      <w:r w:rsidRPr="00440936">
        <w:rPr>
          <w:rFonts w:ascii="Arial" w:hAnsi="Arial" w:cs="Arial"/>
          <w:i/>
          <w:iCs/>
          <w:color w:val="000000" w:themeColor="text1"/>
        </w:rPr>
        <w:t>Trichomonas vaginalis</w:t>
      </w:r>
      <w:r w:rsidRPr="00440936">
        <w:rPr>
          <w:rFonts w:ascii="Arial" w:hAnsi="Arial" w:cs="Arial"/>
          <w:color w:val="000000" w:themeColor="text1"/>
        </w:rPr>
        <w:t xml:space="preserve"> are </w:t>
      </w:r>
      <w:proofErr w:type="gramStart"/>
      <w:r w:rsidRPr="00440936">
        <w:rPr>
          <w:rFonts w:ascii="Arial" w:hAnsi="Arial" w:cs="Arial"/>
          <w:color w:val="000000" w:themeColor="text1"/>
        </w:rPr>
        <w:t>less</w:t>
      </w:r>
      <w:proofErr w:type="gramEnd"/>
      <w:r w:rsidRPr="00440936">
        <w:rPr>
          <w:rFonts w:ascii="Arial" w:hAnsi="Arial" w:cs="Arial"/>
          <w:color w:val="000000" w:themeColor="text1"/>
        </w:rPr>
        <w:t xml:space="preserve"> common causes. </w:t>
      </w:r>
    </w:p>
    <w:p w14:paraId="58858AD5" w14:textId="26296E26" w:rsidR="009631D2" w:rsidRPr="00440936" w:rsidRDefault="009631D2" w:rsidP="00F93294">
      <w:pPr>
        <w:pStyle w:val="ListParagraph"/>
        <w:numPr>
          <w:ilvl w:val="1"/>
          <w:numId w:val="6"/>
        </w:numPr>
        <w:ind w:right="-142"/>
        <w:rPr>
          <w:rFonts w:ascii="Arial" w:hAnsi="Arial" w:cs="Arial"/>
          <w:color w:val="000000" w:themeColor="text1"/>
        </w:rPr>
      </w:pPr>
      <w:r w:rsidRPr="00440936">
        <w:rPr>
          <w:rFonts w:ascii="Arial" w:hAnsi="Arial" w:cs="Arial"/>
          <w:color w:val="000000" w:themeColor="text1"/>
        </w:rPr>
        <w:t xml:space="preserve">Occasionally coliforms (such as </w:t>
      </w:r>
      <w:r w:rsidRPr="00440936">
        <w:rPr>
          <w:rFonts w:ascii="Arial" w:hAnsi="Arial" w:cs="Arial"/>
          <w:i/>
          <w:iCs/>
          <w:color w:val="000000" w:themeColor="text1"/>
        </w:rPr>
        <w:t>E. coli</w:t>
      </w:r>
      <w:r w:rsidRPr="00440936">
        <w:rPr>
          <w:rFonts w:ascii="Arial" w:hAnsi="Arial" w:cs="Arial"/>
          <w:color w:val="000000" w:themeColor="text1"/>
        </w:rPr>
        <w:t xml:space="preserve"> acquired through anal sex) and bacteria found in the respiratory tract (such </w:t>
      </w:r>
      <w:proofErr w:type="spellStart"/>
      <w:r w:rsidRPr="00440936">
        <w:rPr>
          <w:rFonts w:ascii="Arial" w:hAnsi="Arial" w:cs="Arial"/>
          <w:i/>
          <w:iCs/>
          <w:color w:val="000000" w:themeColor="text1"/>
        </w:rPr>
        <w:t>Haemophilus</w:t>
      </w:r>
      <w:proofErr w:type="spellEnd"/>
      <w:r w:rsidRPr="00440936">
        <w:rPr>
          <w:rFonts w:ascii="Arial" w:hAnsi="Arial" w:cs="Arial"/>
          <w:i/>
          <w:iCs/>
          <w:color w:val="000000" w:themeColor="text1"/>
        </w:rPr>
        <w:t xml:space="preserve"> influenzae</w:t>
      </w:r>
      <w:r w:rsidRPr="00440936">
        <w:rPr>
          <w:rFonts w:ascii="Arial" w:hAnsi="Arial" w:cs="Arial"/>
          <w:color w:val="000000" w:themeColor="text1"/>
        </w:rPr>
        <w:t xml:space="preserve"> and </w:t>
      </w:r>
      <w:r w:rsidRPr="00440936">
        <w:rPr>
          <w:rFonts w:ascii="Arial" w:hAnsi="Arial" w:cs="Arial"/>
          <w:i/>
          <w:iCs/>
          <w:color w:val="000000" w:themeColor="text1"/>
        </w:rPr>
        <w:t>Neisseria meningitidis</w:t>
      </w:r>
      <w:r w:rsidRPr="00440936">
        <w:rPr>
          <w:rFonts w:ascii="Arial" w:hAnsi="Arial" w:cs="Arial"/>
          <w:color w:val="000000" w:themeColor="text1"/>
        </w:rPr>
        <w:t xml:space="preserve"> from oral sex) will be detected as a cause of NGU.</w:t>
      </w:r>
    </w:p>
    <w:p w14:paraId="6D386C94" w14:textId="77777777" w:rsidR="009631D2" w:rsidRPr="00440936" w:rsidRDefault="009631D2" w:rsidP="00F93294">
      <w:pPr>
        <w:pStyle w:val="ListParagraph"/>
        <w:numPr>
          <w:ilvl w:val="0"/>
          <w:numId w:val="5"/>
        </w:numPr>
        <w:ind w:right="-142"/>
        <w:rPr>
          <w:rFonts w:ascii="Arial" w:hAnsi="Arial" w:cs="Arial"/>
          <w:color w:val="000000" w:themeColor="text1"/>
        </w:rPr>
      </w:pPr>
      <w:r w:rsidRPr="00440936">
        <w:rPr>
          <w:rFonts w:ascii="Arial" w:hAnsi="Arial" w:cs="Arial"/>
          <w:color w:val="000000" w:themeColor="text1"/>
        </w:rPr>
        <w:t xml:space="preserve">In the majority of cases of NGU no pathogen is identified. </w:t>
      </w:r>
    </w:p>
    <w:p w14:paraId="1E737788" w14:textId="784C8BC9" w:rsidR="009631D2" w:rsidRPr="00440936" w:rsidRDefault="009631D2" w:rsidP="00F93294">
      <w:pPr>
        <w:pStyle w:val="ListParagraph"/>
        <w:numPr>
          <w:ilvl w:val="1"/>
          <w:numId w:val="7"/>
        </w:numPr>
        <w:ind w:right="-142"/>
        <w:rPr>
          <w:rFonts w:ascii="Arial" w:hAnsi="Arial" w:cs="Arial"/>
          <w:i/>
          <w:iCs/>
          <w:color w:val="000000" w:themeColor="text1"/>
        </w:rPr>
      </w:pPr>
      <w:r w:rsidRPr="00440936">
        <w:rPr>
          <w:rFonts w:ascii="Arial" w:hAnsi="Arial" w:cs="Arial"/>
          <w:color w:val="000000" w:themeColor="text1"/>
        </w:rPr>
        <w:t xml:space="preserve">Some organisms can be present in the normal urethra and detection does not necessarily indicate infection or the need for treatment. These include </w:t>
      </w:r>
      <w:r w:rsidRPr="00440936">
        <w:rPr>
          <w:rFonts w:ascii="Arial" w:hAnsi="Arial" w:cs="Arial"/>
          <w:i/>
          <w:iCs/>
          <w:color w:val="000000" w:themeColor="text1"/>
        </w:rPr>
        <w:t>Mycoplasma hominis</w:t>
      </w:r>
      <w:r w:rsidRPr="00440936">
        <w:rPr>
          <w:rFonts w:ascii="Arial" w:hAnsi="Arial" w:cs="Arial"/>
          <w:color w:val="000000" w:themeColor="text1"/>
        </w:rPr>
        <w:t xml:space="preserve"> and </w:t>
      </w:r>
      <w:proofErr w:type="spellStart"/>
      <w:r w:rsidRPr="00440936">
        <w:rPr>
          <w:rFonts w:ascii="Arial" w:hAnsi="Arial" w:cs="Arial"/>
          <w:i/>
          <w:iCs/>
          <w:color w:val="000000" w:themeColor="text1"/>
        </w:rPr>
        <w:t>Ureaplasma</w:t>
      </w:r>
      <w:proofErr w:type="spellEnd"/>
      <w:r w:rsidRPr="00440936">
        <w:rPr>
          <w:rFonts w:ascii="Arial" w:hAnsi="Arial" w:cs="Arial"/>
          <w:i/>
          <w:iCs/>
          <w:color w:val="000000" w:themeColor="text1"/>
        </w:rPr>
        <w:t xml:space="preserve"> </w:t>
      </w:r>
      <w:proofErr w:type="spellStart"/>
      <w:r w:rsidRPr="00440936">
        <w:rPr>
          <w:rFonts w:ascii="Arial" w:hAnsi="Arial" w:cs="Arial"/>
          <w:i/>
          <w:iCs/>
          <w:color w:val="000000" w:themeColor="text1"/>
        </w:rPr>
        <w:t>urealyticum</w:t>
      </w:r>
      <w:proofErr w:type="spellEnd"/>
      <w:r w:rsidRPr="00440936">
        <w:rPr>
          <w:rFonts w:ascii="Arial" w:hAnsi="Arial" w:cs="Arial"/>
          <w:i/>
          <w:iCs/>
          <w:color w:val="000000" w:themeColor="text1"/>
        </w:rPr>
        <w:t>.</w:t>
      </w:r>
    </w:p>
    <w:p w14:paraId="7027AD72" w14:textId="03F32E30" w:rsidR="009631D2" w:rsidRPr="00440936" w:rsidRDefault="009631D2" w:rsidP="00F93294">
      <w:pPr>
        <w:ind w:right="-142"/>
        <w:rPr>
          <w:rFonts w:ascii="Arial" w:hAnsi="Arial" w:cs="Arial"/>
          <w:color w:val="000000" w:themeColor="text1"/>
        </w:rPr>
      </w:pPr>
    </w:p>
    <w:p w14:paraId="2DF42766" w14:textId="77777777" w:rsidR="009631D2" w:rsidRPr="00F93294" w:rsidRDefault="009631D2" w:rsidP="00F93294">
      <w:pPr>
        <w:pStyle w:val="Heading1"/>
        <w:ind w:right="-142"/>
        <w:rPr>
          <w:rFonts w:ascii="Arial" w:hAnsi="Arial" w:cs="Arial"/>
          <w:b/>
          <w:bCs/>
          <w:color w:val="000000" w:themeColor="text1"/>
        </w:rPr>
      </w:pPr>
      <w:r w:rsidRPr="00F93294">
        <w:rPr>
          <w:rFonts w:ascii="Arial" w:hAnsi="Arial" w:cs="Arial"/>
          <w:b/>
          <w:bCs/>
          <w:color w:val="000000" w:themeColor="text1"/>
        </w:rPr>
        <w:t>Clinical features</w:t>
      </w:r>
    </w:p>
    <w:p w14:paraId="0C3241F0" w14:textId="620D85A3" w:rsidR="009631D2" w:rsidRPr="00440936" w:rsidRDefault="00AE59C5" w:rsidP="00F93294">
      <w:pPr>
        <w:pStyle w:val="ListParagraph"/>
        <w:numPr>
          <w:ilvl w:val="0"/>
          <w:numId w:val="8"/>
        </w:numPr>
        <w:tabs>
          <w:tab w:val="left" w:pos="1134"/>
        </w:tabs>
        <w:ind w:right="-142" w:hanging="654"/>
        <w:rPr>
          <w:rFonts w:ascii="Arial" w:hAnsi="Arial" w:cs="Arial"/>
          <w:color w:val="000000" w:themeColor="text1"/>
        </w:rPr>
      </w:pPr>
      <w:r w:rsidRPr="00440936">
        <w:rPr>
          <w:rFonts w:ascii="Arial" w:hAnsi="Arial" w:cs="Arial"/>
          <w:color w:val="000000" w:themeColor="text1"/>
        </w:rPr>
        <w:t>U</w:t>
      </w:r>
      <w:r w:rsidR="009631D2" w:rsidRPr="00440936">
        <w:rPr>
          <w:rFonts w:ascii="Arial" w:hAnsi="Arial" w:cs="Arial"/>
          <w:color w:val="000000" w:themeColor="text1"/>
        </w:rPr>
        <w:t>rethral discomfort, discharge and dysuria</w:t>
      </w:r>
    </w:p>
    <w:p w14:paraId="0F8ABE0D" w14:textId="391DE2A9" w:rsidR="009631D2" w:rsidRPr="00440936" w:rsidRDefault="009631D2" w:rsidP="00F93294">
      <w:pPr>
        <w:pStyle w:val="ListParagraph"/>
        <w:numPr>
          <w:ilvl w:val="1"/>
          <w:numId w:val="9"/>
        </w:numPr>
        <w:tabs>
          <w:tab w:val="left" w:pos="1134"/>
        </w:tabs>
        <w:ind w:left="1418" w:right="-142"/>
        <w:rPr>
          <w:rFonts w:ascii="Arial" w:hAnsi="Arial" w:cs="Arial"/>
          <w:color w:val="000000" w:themeColor="text1"/>
        </w:rPr>
      </w:pPr>
      <w:r w:rsidRPr="00440936">
        <w:rPr>
          <w:rFonts w:ascii="Arial" w:hAnsi="Arial" w:cs="Arial"/>
          <w:color w:val="000000" w:themeColor="text1"/>
        </w:rPr>
        <w:t>some men will report only dysuria or discomfort without discharge</w:t>
      </w:r>
    </w:p>
    <w:p w14:paraId="02A58400" w14:textId="4B391AA0" w:rsidR="009631D2" w:rsidRPr="00440936" w:rsidRDefault="009631D2" w:rsidP="00F93294">
      <w:pPr>
        <w:pStyle w:val="ListParagraph"/>
        <w:numPr>
          <w:ilvl w:val="1"/>
          <w:numId w:val="9"/>
        </w:numPr>
        <w:tabs>
          <w:tab w:val="left" w:pos="1134"/>
        </w:tabs>
        <w:ind w:left="1418" w:right="-142"/>
        <w:rPr>
          <w:rFonts w:ascii="Arial" w:hAnsi="Arial" w:cs="Arial"/>
          <w:color w:val="000000" w:themeColor="text1"/>
        </w:rPr>
      </w:pPr>
      <w:r w:rsidRPr="00440936">
        <w:rPr>
          <w:rFonts w:ascii="Arial" w:hAnsi="Arial" w:cs="Arial"/>
          <w:color w:val="000000" w:themeColor="text1"/>
        </w:rPr>
        <w:t>gonococcal urethritis is usually purulent</w:t>
      </w:r>
    </w:p>
    <w:p w14:paraId="5A6DCE1A" w14:textId="77777777" w:rsidR="009631D2" w:rsidRPr="00440936" w:rsidRDefault="009631D2" w:rsidP="00F93294">
      <w:pPr>
        <w:pStyle w:val="ListParagraph"/>
        <w:numPr>
          <w:ilvl w:val="0"/>
          <w:numId w:val="8"/>
        </w:numPr>
        <w:tabs>
          <w:tab w:val="left" w:pos="1134"/>
        </w:tabs>
        <w:ind w:right="-142" w:hanging="654"/>
        <w:rPr>
          <w:rFonts w:ascii="Arial" w:hAnsi="Arial" w:cs="Arial"/>
          <w:color w:val="000000" w:themeColor="text1"/>
        </w:rPr>
      </w:pPr>
      <w:r w:rsidRPr="00440936">
        <w:rPr>
          <w:rFonts w:ascii="Arial" w:hAnsi="Arial" w:cs="Arial"/>
          <w:color w:val="000000" w:themeColor="text1"/>
        </w:rPr>
        <w:t xml:space="preserve">Clinical features that suggest a viral </w:t>
      </w:r>
      <w:proofErr w:type="spellStart"/>
      <w:r w:rsidRPr="00440936">
        <w:rPr>
          <w:rFonts w:ascii="Arial" w:hAnsi="Arial" w:cs="Arial"/>
          <w:color w:val="000000" w:themeColor="text1"/>
        </w:rPr>
        <w:t>aetiology</w:t>
      </w:r>
      <w:proofErr w:type="spellEnd"/>
      <w:r w:rsidRPr="00440936">
        <w:rPr>
          <w:rFonts w:ascii="Arial" w:hAnsi="Arial" w:cs="Arial"/>
          <w:color w:val="000000" w:themeColor="text1"/>
        </w:rPr>
        <w:t xml:space="preserve"> include marked and persistent dysuria, an inflamed meatus and in the case of adenovirus concurrent conjunctivitis. </w:t>
      </w:r>
    </w:p>
    <w:p w14:paraId="68BF413E" w14:textId="77777777" w:rsidR="009631D2" w:rsidRPr="00440936" w:rsidRDefault="009631D2" w:rsidP="00F93294">
      <w:pPr>
        <w:ind w:right="-142"/>
        <w:rPr>
          <w:rFonts w:ascii="Arial" w:hAnsi="Arial" w:cs="Arial"/>
          <w:color w:val="000000" w:themeColor="text1"/>
        </w:rPr>
      </w:pPr>
    </w:p>
    <w:p w14:paraId="22C5A9BA" w14:textId="77777777" w:rsidR="009631D2" w:rsidRPr="00F93294" w:rsidRDefault="009631D2" w:rsidP="00F93294">
      <w:pPr>
        <w:pStyle w:val="Heading1"/>
        <w:ind w:right="-142"/>
        <w:rPr>
          <w:rFonts w:ascii="Arial" w:hAnsi="Arial" w:cs="Arial"/>
          <w:b/>
          <w:bCs/>
          <w:color w:val="000000" w:themeColor="text1"/>
        </w:rPr>
      </w:pPr>
      <w:r w:rsidRPr="00F93294">
        <w:rPr>
          <w:rFonts w:ascii="Arial" w:hAnsi="Arial" w:cs="Arial"/>
          <w:b/>
          <w:bCs/>
          <w:color w:val="000000" w:themeColor="text1"/>
        </w:rPr>
        <w:t>Diagnosis</w:t>
      </w:r>
    </w:p>
    <w:tbl>
      <w:tblPr>
        <w:tblW w:w="477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3"/>
        <w:gridCol w:w="2724"/>
        <w:gridCol w:w="5072"/>
      </w:tblGrid>
      <w:tr w:rsidR="00440936" w:rsidRPr="00440936" w14:paraId="2B9E58CE" w14:textId="77777777" w:rsidTr="00440936">
        <w:trPr>
          <w:trHeight w:val="221"/>
        </w:trPr>
        <w:tc>
          <w:tcPr>
            <w:tcW w:w="879" w:type="pct"/>
            <w:tcBorders>
              <w:top w:val="single" w:sz="4" w:space="0" w:color="auto"/>
              <w:left w:val="single" w:sz="4" w:space="0" w:color="auto"/>
              <w:bottom w:val="single" w:sz="8" w:space="0" w:color="000000"/>
              <w:right w:val="single" w:sz="4" w:space="0" w:color="auto"/>
            </w:tcBorders>
            <w:shd w:val="clear" w:color="auto" w:fill="808080"/>
          </w:tcPr>
          <w:p w14:paraId="140D011E" w14:textId="77777777" w:rsidR="009631D2" w:rsidRPr="00440936" w:rsidRDefault="009631D2" w:rsidP="00F93294">
            <w:pPr>
              <w:ind w:right="-142" w:hanging="2"/>
              <w:jc w:val="center"/>
              <w:rPr>
                <w:rFonts w:ascii="Arial" w:hAnsi="Arial" w:cs="Arial"/>
                <w:b/>
                <w:bCs/>
                <w:color w:val="FFFFFF" w:themeColor="background1"/>
              </w:rPr>
            </w:pPr>
            <w:r w:rsidRPr="00440936">
              <w:rPr>
                <w:rFonts w:ascii="Arial" w:hAnsi="Arial" w:cs="Arial"/>
                <w:b/>
                <w:bCs/>
                <w:color w:val="FFFFFF" w:themeColor="background1"/>
              </w:rPr>
              <w:t>Test</w:t>
            </w:r>
          </w:p>
        </w:tc>
        <w:tc>
          <w:tcPr>
            <w:tcW w:w="1440" w:type="pct"/>
            <w:tcBorders>
              <w:top w:val="single" w:sz="4" w:space="0" w:color="auto"/>
              <w:left w:val="single" w:sz="4" w:space="0" w:color="auto"/>
              <w:bottom w:val="single" w:sz="8" w:space="0" w:color="000000"/>
              <w:right w:val="single" w:sz="4" w:space="0" w:color="auto"/>
            </w:tcBorders>
            <w:shd w:val="clear" w:color="auto" w:fill="808080"/>
          </w:tcPr>
          <w:p w14:paraId="51F09D63" w14:textId="77777777" w:rsidR="009631D2" w:rsidRPr="00440936" w:rsidRDefault="009631D2" w:rsidP="00F93294">
            <w:pPr>
              <w:ind w:right="-142" w:hanging="2"/>
              <w:jc w:val="center"/>
              <w:rPr>
                <w:rFonts w:ascii="Arial" w:hAnsi="Arial" w:cs="Arial"/>
                <w:b/>
                <w:color w:val="FFFFFF" w:themeColor="background1"/>
              </w:rPr>
            </w:pPr>
            <w:r w:rsidRPr="00440936">
              <w:rPr>
                <w:rFonts w:ascii="Arial" w:hAnsi="Arial" w:cs="Arial"/>
                <w:b/>
                <w:color w:val="FFFFFF" w:themeColor="background1"/>
              </w:rPr>
              <w:t>Site/Specimen</w:t>
            </w:r>
          </w:p>
        </w:tc>
        <w:tc>
          <w:tcPr>
            <w:tcW w:w="2681" w:type="pct"/>
            <w:tcBorders>
              <w:top w:val="single" w:sz="4" w:space="0" w:color="auto"/>
              <w:left w:val="single" w:sz="4" w:space="0" w:color="auto"/>
              <w:bottom w:val="single" w:sz="8" w:space="0" w:color="000000"/>
              <w:right w:val="single" w:sz="4" w:space="0" w:color="auto"/>
            </w:tcBorders>
            <w:shd w:val="clear" w:color="auto" w:fill="808080"/>
          </w:tcPr>
          <w:p w14:paraId="16D2AF5E" w14:textId="77777777" w:rsidR="009631D2" w:rsidRPr="00440936" w:rsidRDefault="009631D2" w:rsidP="00F93294">
            <w:pPr>
              <w:ind w:right="-142" w:hanging="2"/>
              <w:jc w:val="center"/>
              <w:rPr>
                <w:rFonts w:ascii="Arial" w:hAnsi="Arial" w:cs="Arial"/>
                <w:b/>
                <w:color w:val="FFFFFF" w:themeColor="background1"/>
              </w:rPr>
            </w:pPr>
            <w:r w:rsidRPr="00440936">
              <w:rPr>
                <w:rFonts w:ascii="Arial" w:hAnsi="Arial" w:cs="Arial"/>
                <w:b/>
                <w:color w:val="FFFFFF" w:themeColor="background1"/>
              </w:rPr>
              <w:t>Comments</w:t>
            </w:r>
          </w:p>
        </w:tc>
      </w:tr>
      <w:tr w:rsidR="00440936" w:rsidRPr="00440936" w14:paraId="65B052DD" w14:textId="77777777" w:rsidTr="00440936">
        <w:trPr>
          <w:trHeight w:val="456"/>
        </w:trPr>
        <w:tc>
          <w:tcPr>
            <w:tcW w:w="879" w:type="pct"/>
            <w:tcBorders>
              <w:top w:val="single" w:sz="4" w:space="0" w:color="auto"/>
              <w:left w:val="single" w:sz="4" w:space="0" w:color="auto"/>
              <w:bottom w:val="single" w:sz="4" w:space="0" w:color="auto"/>
              <w:right w:val="single" w:sz="4" w:space="0" w:color="auto"/>
            </w:tcBorders>
          </w:tcPr>
          <w:p w14:paraId="74C19E64" w14:textId="327DC95A" w:rsidR="009631D2" w:rsidRPr="00440936" w:rsidRDefault="00431D6C" w:rsidP="00F93294">
            <w:pPr>
              <w:ind w:right="-142" w:hanging="2"/>
              <w:rPr>
                <w:rFonts w:ascii="Arial" w:hAnsi="Arial" w:cs="Arial"/>
                <w:bCs/>
                <w:color w:val="000000" w:themeColor="text1"/>
              </w:rPr>
            </w:pPr>
            <w:r w:rsidRPr="00440936">
              <w:rPr>
                <w:rFonts w:ascii="Arial" w:hAnsi="Arial" w:cs="Arial"/>
                <w:color w:val="000000" w:themeColor="text1"/>
              </w:rPr>
              <w:t>Gram stain</w:t>
            </w:r>
            <w:r w:rsidR="009631D2" w:rsidRPr="00440936">
              <w:rPr>
                <w:rFonts w:ascii="Arial" w:hAnsi="Arial" w:cs="Arial"/>
                <w:color w:val="000000" w:themeColor="text1"/>
              </w:rPr>
              <w:t xml:space="preserve"> </w:t>
            </w:r>
          </w:p>
        </w:tc>
        <w:tc>
          <w:tcPr>
            <w:tcW w:w="1440" w:type="pct"/>
            <w:tcBorders>
              <w:top w:val="single" w:sz="4" w:space="0" w:color="auto"/>
              <w:left w:val="single" w:sz="4" w:space="0" w:color="auto"/>
              <w:bottom w:val="single" w:sz="4" w:space="0" w:color="auto"/>
              <w:right w:val="single" w:sz="4" w:space="0" w:color="auto"/>
            </w:tcBorders>
          </w:tcPr>
          <w:p w14:paraId="184E1089" w14:textId="038DCD1A" w:rsidR="009631D2" w:rsidRPr="00440936" w:rsidRDefault="00431D6C" w:rsidP="00F93294">
            <w:pPr>
              <w:ind w:right="-142" w:hanging="2"/>
              <w:rPr>
                <w:rFonts w:ascii="Arial" w:hAnsi="Arial" w:cs="Arial"/>
                <w:color w:val="000000" w:themeColor="text1"/>
              </w:rPr>
            </w:pPr>
            <w:r w:rsidRPr="00440936">
              <w:rPr>
                <w:rFonts w:ascii="Arial" w:hAnsi="Arial" w:cs="Arial"/>
                <w:color w:val="000000" w:themeColor="text1"/>
              </w:rPr>
              <w:t>Urethral swab smear</w:t>
            </w:r>
          </w:p>
          <w:p w14:paraId="05DD2540" w14:textId="77777777" w:rsidR="009631D2" w:rsidRPr="00440936" w:rsidRDefault="009631D2" w:rsidP="00F93294">
            <w:pPr>
              <w:ind w:right="-142" w:hanging="2"/>
              <w:rPr>
                <w:rFonts w:ascii="Arial" w:hAnsi="Arial" w:cs="Arial"/>
                <w:color w:val="000000" w:themeColor="text1"/>
              </w:rPr>
            </w:pPr>
          </w:p>
        </w:tc>
        <w:tc>
          <w:tcPr>
            <w:tcW w:w="2681" w:type="pct"/>
            <w:tcBorders>
              <w:top w:val="single" w:sz="4" w:space="0" w:color="auto"/>
              <w:left w:val="single" w:sz="4" w:space="0" w:color="auto"/>
              <w:bottom w:val="single" w:sz="4" w:space="0" w:color="auto"/>
              <w:right w:val="single" w:sz="4" w:space="0" w:color="auto"/>
            </w:tcBorders>
          </w:tcPr>
          <w:p w14:paraId="55A56231" w14:textId="7753FE18" w:rsidR="009631D2" w:rsidRPr="00440936" w:rsidRDefault="00431D6C" w:rsidP="00F93294">
            <w:pPr>
              <w:pStyle w:val="Body"/>
              <w:ind w:right="-142"/>
              <w:rPr>
                <w:rFonts w:ascii="Arial" w:hAnsi="Arial" w:cs="Arial"/>
                <w:color w:val="000000" w:themeColor="text1"/>
              </w:rPr>
            </w:pPr>
            <w:r w:rsidRPr="00440936">
              <w:rPr>
                <w:rFonts w:ascii="Arial" w:hAnsi="Arial" w:cs="Arial"/>
                <w:color w:val="000000" w:themeColor="text1"/>
              </w:rPr>
              <w:t xml:space="preserve">Urethral polymorphs and Gram-negative intracellular diplococci are indicative of </w:t>
            </w:r>
            <w:proofErr w:type="spellStart"/>
            <w:r w:rsidRPr="00440936">
              <w:rPr>
                <w:rFonts w:ascii="Arial" w:hAnsi="Arial" w:cs="Arial"/>
                <w:color w:val="000000" w:themeColor="text1"/>
              </w:rPr>
              <w:t>gonorrhoea</w:t>
            </w:r>
            <w:proofErr w:type="spellEnd"/>
          </w:p>
          <w:p w14:paraId="6C47D27B" w14:textId="1A62AAF4" w:rsidR="00431D6C" w:rsidRPr="00440936" w:rsidRDefault="00431D6C" w:rsidP="00F93294">
            <w:pPr>
              <w:pStyle w:val="Body"/>
              <w:ind w:right="-142"/>
              <w:rPr>
                <w:rFonts w:ascii="Arial" w:hAnsi="Arial" w:cs="Arial"/>
                <w:color w:val="000000" w:themeColor="text1"/>
              </w:rPr>
            </w:pPr>
          </w:p>
          <w:p w14:paraId="44B4C32C" w14:textId="3933EA90" w:rsidR="009631D2" w:rsidRPr="00440936" w:rsidRDefault="00431D6C" w:rsidP="00F93294">
            <w:pPr>
              <w:pStyle w:val="NormalWeb"/>
              <w:shd w:val="clear" w:color="auto" w:fill="FFFFFF"/>
              <w:spacing w:after="260" w:line="312" w:lineRule="atLeast"/>
              <w:ind w:right="-142"/>
              <w:textAlignment w:val="baseline"/>
              <w:rPr>
                <w:rFonts w:ascii="Arial" w:hAnsi="Arial" w:cs="Arial"/>
                <w:color w:val="000000" w:themeColor="text1"/>
              </w:rPr>
            </w:pPr>
            <w:r w:rsidRPr="00440936">
              <w:rPr>
                <w:rFonts w:ascii="Arial" w:hAnsi="Arial" w:cs="Arial"/>
                <w:color w:val="000000" w:themeColor="text1"/>
              </w:rPr>
              <w:t xml:space="preserve">May also assist with the diagnosis of NGU: a raised urethral polymorph count will be present in the majority but not in about 30% of cases of urethritis where chlamydia and </w:t>
            </w:r>
            <w:r w:rsidRPr="00440936">
              <w:rPr>
                <w:rFonts w:ascii="Arial" w:hAnsi="Arial" w:cs="Arial"/>
                <w:i/>
                <w:iCs/>
                <w:color w:val="000000" w:themeColor="text1"/>
              </w:rPr>
              <w:t xml:space="preserve">M. </w:t>
            </w:r>
            <w:proofErr w:type="spellStart"/>
            <w:r w:rsidRPr="00440936">
              <w:rPr>
                <w:rFonts w:ascii="Arial" w:hAnsi="Arial" w:cs="Arial"/>
                <w:i/>
                <w:iCs/>
                <w:color w:val="000000" w:themeColor="text1"/>
              </w:rPr>
              <w:t>genitalium</w:t>
            </w:r>
            <w:proofErr w:type="spellEnd"/>
            <w:r w:rsidRPr="00440936">
              <w:rPr>
                <w:rFonts w:ascii="Arial" w:hAnsi="Arial" w:cs="Arial"/>
                <w:color w:val="000000" w:themeColor="text1"/>
              </w:rPr>
              <w:t xml:space="preserve"> are detected. </w:t>
            </w:r>
            <w:proofErr w:type="gramStart"/>
            <w:r w:rsidRPr="00440936">
              <w:rPr>
                <w:rFonts w:ascii="Arial" w:hAnsi="Arial" w:cs="Arial"/>
                <w:color w:val="000000" w:themeColor="text1"/>
              </w:rPr>
              <w:t>Therefore</w:t>
            </w:r>
            <w:proofErr w:type="gramEnd"/>
            <w:r w:rsidRPr="00440936">
              <w:rPr>
                <w:rFonts w:ascii="Arial" w:hAnsi="Arial" w:cs="Arial"/>
                <w:color w:val="000000" w:themeColor="text1"/>
              </w:rPr>
              <w:t xml:space="preserve"> men with suspected urethritis based on risk and symptoms should be treated for NGU even where there are no polymorphs present on urethral smear.</w:t>
            </w:r>
            <w:r w:rsidRPr="00440936">
              <w:rPr>
                <w:rFonts w:ascii="Arial" w:hAnsi="Arial" w:cs="Arial"/>
                <w:color w:val="000000" w:themeColor="text1"/>
              </w:rPr>
              <w:br/>
            </w:r>
          </w:p>
        </w:tc>
      </w:tr>
      <w:tr w:rsidR="00440936" w:rsidRPr="00440936" w14:paraId="6B2481FA" w14:textId="77777777" w:rsidTr="00440936">
        <w:trPr>
          <w:trHeight w:val="456"/>
        </w:trPr>
        <w:tc>
          <w:tcPr>
            <w:tcW w:w="879" w:type="pct"/>
            <w:tcBorders>
              <w:top w:val="single" w:sz="4" w:space="0" w:color="auto"/>
              <w:left w:val="single" w:sz="4" w:space="0" w:color="auto"/>
              <w:bottom w:val="single" w:sz="4" w:space="0" w:color="auto"/>
              <w:right w:val="single" w:sz="4" w:space="0" w:color="auto"/>
            </w:tcBorders>
          </w:tcPr>
          <w:p w14:paraId="3867C6FF" w14:textId="77777777" w:rsidR="009631D2" w:rsidRPr="00440936" w:rsidRDefault="009631D2" w:rsidP="00F93294">
            <w:pPr>
              <w:ind w:right="-142" w:hanging="2"/>
              <w:rPr>
                <w:rFonts w:ascii="Arial" w:hAnsi="Arial" w:cs="Arial"/>
                <w:color w:val="000000" w:themeColor="text1"/>
              </w:rPr>
            </w:pPr>
            <w:r w:rsidRPr="00440936">
              <w:rPr>
                <w:rFonts w:ascii="Arial" w:hAnsi="Arial" w:cs="Arial"/>
                <w:color w:val="000000" w:themeColor="text1"/>
              </w:rPr>
              <w:t>Culture</w:t>
            </w:r>
          </w:p>
        </w:tc>
        <w:tc>
          <w:tcPr>
            <w:tcW w:w="1440" w:type="pct"/>
            <w:tcBorders>
              <w:top w:val="single" w:sz="4" w:space="0" w:color="auto"/>
              <w:left w:val="single" w:sz="4" w:space="0" w:color="auto"/>
              <w:bottom w:val="single" w:sz="4" w:space="0" w:color="auto"/>
              <w:right w:val="single" w:sz="4" w:space="0" w:color="auto"/>
            </w:tcBorders>
          </w:tcPr>
          <w:p w14:paraId="2F5E7AE5" w14:textId="58EA83EE" w:rsidR="009631D2" w:rsidRPr="00440936" w:rsidRDefault="00431D6C" w:rsidP="00F93294">
            <w:pPr>
              <w:ind w:right="-142" w:hanging="2"/>
              <w:rPr>
                <w:rFonts w:ascii="Arial" w:hAnsi="Arial" w:cs="Arial"/>
                <w:color w:val="000000" w:themeColor="text1"/>
              </w:rPr>
            </w:pPr>
            <w:r w:rsidRPr="00440936">
              <w:rPr>
                <w:rFonts w:ascii="Arial" w:hAnsi="Arial" w:cs="Arial"/>
                <w:color w:val="000000" w:themeColor="text1"/>
              </w:rPr>
              <w:t>Urethral swab smear</w:t>
            </w:r>
          </w:p>
          <w:p w14:paraId="569D6368" w14:textId="77777777" w:rsidR="009631D2" w:rsidRPr="00440936" w:rsidRDefault="009631D2" w:rsidP="00F93294">
            <w:pPr>
              <w:ind w:right="-142"/>
              <w:rPr>
                <w:rFonts w:ascii="Arial" w:hAnsi="Arial" w:cs="Arial"/>
                <w:color w:val="000000" w:themeColor="text1"/>
              </w:rPr>
            </w:pPr>
          </w:p>
        </w:tc>
        <w:tc>
          <w:tcPr>
            <w:tcW w:w="2681" w:type="pct"/>
            <w:tcBorders>
              <w:top w:val="single" w:sz="4" w:space="0" w:color="auto"/>
              <w:left w:val="single" w:sz="4" w:space="0" w:color="auto"/>
              <w:bottom w:val="single" w:sz="4" w:space="0" w:color="auto"/>
              <w:right w:val="single" w:sz="4" w:space="0" w:color="auto"/>
            </w:tcBorders>
          </w:tcPr>
          <w:p w14:paraId="1C5A7F0E" w14:textId="77777777" w:rsidR="009631D2" w:rsidRPr="00440936" w:rsidRDefault="00431D6C" w:rsidP="00F93294">
            <w:pPr>
              <w:pStyle w:val="Body"/>
              <w:ind w:right="-142"/>
              <w:rPr>
                <w:rFonts w:ascii="Arial" w:hAnsi="Arial" w:cs="Arial"/>
                <w:color w:val="000000" w:themeColor="text1"/>
              </w:rPr>
            </w:pPr>
            <w:r w:rsidRPr="00440936">
              <w:rPr>
                <w:rFonts w:ascii="Arial" w:hAnsi="Arial" w:cs="Arial"/>
                <w:color w:val="000000" w:themeColor="text1"/>
              </w:rPr>
              <w:t xml:space="preserve">Test for </w:t>
            </w:r>
            <w:proofErr w:type="spellStart"/>
            <w:r w:rsidRPr="00440936">
              <w:rPr>
                <w:rFonts w:ascii="Arial" w:hAnsi="Arial" w:cs="Arial"/>
                <w:color w:val="000000" w:themeColor="text1"/>
              </w:rPr>
              <w:t>gonorrhoea</w:t>
            </w:r>
            <w:proofErr w:type="spellEnd"/>
          </w:p>
          <w:p w14:paraId="79C2C921" w14:textId="77777777" w:rsidR="00431D6C" w:rsidRPr="00440936" w:rsidRDefault="00431D6C" w:rsidP="00F93294">
            <w:pPr>
              <w:pStyle w:val="Body"/>
              <w:ind w:right="-142"/>
              <w:rPr>
                <w:rFonts w:ascii="Arial" w:hAnsi="Arial" w:cs="Arial"/>
                <w:color w:val="000000" w:themeColor="text1"/>
              </w:rPr>
            </w:pPr>
          </w:p>
          <w:p w14:paraId="26FA4B39" w14:textId="10A2D839" w:rsidR="00431D6C" w:rsidRPr="00440936" w:rsidRDefault="00431D6C" w:rsidP="00F93294">
            <w:pPr>
              <w:pStyle w:val="Body"/>
              <w:ind w:right="-142"/>
              <w:rPr>
                <w:rFonts w:ascii="Arial" w:hAnsi="Arial" w:cs="Arial"/>
                <w:color w:val="000000" w:themeColor="text1"/>
              </w:rPr>
            </w:pPr>
            <w:r w:rsidRPr="00440936">
              <w:rPr>
                <w:rFonts w:ascii="Arial" w:hAnsi="Arial" w:cs="Arial"/>
                <w:color w:val="000000" w:themeColor="text1"/>
              </w:rPr>
              <w:t xml:space="preserve">Culture prior to treatment is important for surveillance for </w:t>
            </w:r>
            <w:proofErr w:type="spellStart"/>
            <w:r w:rsidRPr="00440936">
              <w:rPr>
                <w:rFonts w:ascii="Arial" w:hAnsi="Arial" w:cs="Arial"/>
                <w:color w:val="000000" w:themeColor="text1"/>
              </w:rPr>
              <w:t>gonorrhoea</w:t>
            </w:r>
            <w:proofErr w:type="spellEnd"/>
            <w:r w:rsidRPr="00440936">
              <w:rPr>
                <w:rFonts w:ascii="Arial" w:hAnsi="Arial" w:cs="Arial"/>
                <w:color w:val="000000" w:themeColor="text1"/>
              </w:rPr>
              <w:t xml:space="preserve"> resistance</w:t>
            </w:r>
          </w:p>
        </w:tc>
      </w:tr>
      <w:tr w:rsidR="00440936" w:rsidRPr="00440936" w14:paraId="5AE07C5F" w14:textId="77777777" w:rsidTr="00F93294">
        <w:trPr>
          <w:trHeight w:val="207"/>
        </w:trPr>
        <w:tc>
          <w:tcPr>
            <w:tcW w:w="879" w:type="pct"/>
            <w:tcBorders>
              <w:top w:val="single" w:sz="4" w:space="0" w:color="auto"/>
              <w:left w:val="single" w:sz="4" w:space="0" w:color="auto"/>
              <w:bottom w:val="single" w:sz="4" w:space="0" w:color="auto"/>
              <w:right w:val="single" w:sz="4" w:space="0" w:color="auto"/>
            </w:tcBorders>
          </w:tcPr>
          <w:p w14:paraId="0A017789" w14:textId="5D26794F" w:rsidR="00431D6C" w:rsidRPr="00440936" w:rsidRDefault="00431D6C" w:rsidP="00F93294">
            <w:pPr>
              <w:ind w:right="-142" w:hanging="2"/>
              <w:rPr>
                <w:rFonts w:ascii="Arial" w:hAnsi="Arial" w:cs="Arial"/>
                <w:color w:val="000000" w:themeColor="text1"/>
              </w:rPr>
            </w:pPr>
            <w:r w:rsidRPr="00440936">
              <w:rPr>
                <w:rFonts w:ascii="Arial" w:hAnsi="Arial" w:cs="Arial"/>
                <w:color w:val="000000" w:themeColor="text1"/>
              </w:rPr>
              <w:lastRenderedPageBreak/>
              <w:t>NAAT</w:t>
            </w:r>
          </w:p>
        </w:tc>
        <w:tc>
          <w:tcPr>
            <w:tcW w:w="1440" w:type="pct"/>
            <w:tcBorders>
              <w:top w:val="single" w:sz="4" w:space="0" w:color="auto"/>
              <w:left w:val="single" w:sz="4" w:space="0" w:color="auto"/>
              <w:bottom w:val="single" w:sz="4" w:space="0" w:color="auto"/>
              <w:right w:val="single" w:sz="4" w:space="0" w:color="auto"/>
            </w:tcBorders>
          </w:tcPr>
          <w:p w14:paraId="755388D3" w14:textId="66B39753" w:rsidR="00431D6C" w:rsidRPr="00440936" w:rsidRDefault="00431D6C" w:rsidP="00F93294">
            <w:pPr>
              <w:ind w:right="-142" w:hanging="2"/>
              <w:rPr>
                <w:rFonts w:ascii="Arial" w:hAnsi="Arial" w:cs="Arial"/>
                <w:color w:val="000000" w:themeColor="text1"/>
              </w:rPr>
            </w:pPr>
            <w:r w:rsidRPr="00440936">
              <w:rPr>
                <w:rFonts w:ascii="Arial" w:hAnsi="Arial" w:cs="Arial"/>
                <w:color w:val="000000" w:themeColor="text1"/>
              </w:rPr>
              <w:t>Urethral swab smear or first pass urine</w:t>
            </w:r>
          </w:p>
        </w:tc>
        <w:tc>
          <w:tcPr>
            <w:tcW w:w="2681" w:type="pct"/>
            <w:tcBorders>
              <w:top w:val="single" w:sz="4" w:space="0" w:color="auto"/>
              <w:left w:val="single" w:sz="4" w:space="0" w:color="auto"/>
              <w:bottom w:val="single" w:sz="4" w:space="0" w:color="auto"/>
              <w:right w:val="single" w:sz="4" w:space="0" w:color="auto"/>
            </w:tcBorders>
          </w:tcPr>
          <w:p w14:paraId="6805F10A" w14:textId="1EFE92AF" w:rsidR="00431D6C" w:rsidRPr="00440936" w:rsidRDefault="00431D6C" w:rsidP="00F93294">
            <w:pPr>
              <w:pStyle w:val="Body"/>
              <w:ind w:right="-142"/>
              <w:rPr>
                <w:rFonts w:ascii="Arial" w:hAnsi="Arial" w:cs="Arial"/>
                <w:color w:val="000000" w:themeColor="text1"/>
              </w:rPr>
            </w:pPr>
            <w:r w:rsidRPr="00440936">
              <w:rPr>
                <w:rFonts w:ascii="Arial" w:hAnsi="Arial" w:cs="Arial"/>
                <w:color w:val="000000" w:themeColor="text1"/>
              </w:rPr>
              <w:t xml:space="preserve">Test for </w:t>
            </w:r>
            <w:proofErr w:type="spellStart"/>
            <w:r w:rsidRPr="00440936">
              <w:rPr>
                <w:rFonts w:ascii="Arial" w:hAnsi="Arial" w:cs="Arial"/>
                <w:color w:val="000000" w:themeColor="text1"/>
              </w:rPr>
              <w:t>gonorrhoea</w:t>
            </w:r>
            <w:proofErr w:type="spellEnd"/>
            <w:r w:rsidRPr="00440936">
              <w:rPr>
                <w:rFonts w:ascii="Arial" w:hAnsi="Arial" w:cs="Arial"/>
                <w:color w:val="000000" w:themeColor="text1"/>
              </w:rPr>
              <w:t xml:space="preserve">, chlamydia and </w:t>
            </w:r>
            <w:r w:rsidRPr="00440936">
              <w:rPr>
                <w:rFonts w:ascii="Arial" w:hAnsi="Arial" w:cs="Arial"/>
                <w:i/>
                <w:iCs/>
                <w:color w:val="000000" w:themeColor="text1"/>
              </w:rPr>
              <w:t xml:space="preserve">M. genitalium </w:t>
            </w:r>
          </w:p>
          <w:p w14:paraId="706A32E2" w14:textId="77777777" w:rsidR="00431D6C" w:rsidRPr="00440936" w:rsidRDefault="00431D6C" w:rsidP="00F93294">
            <w:pPr>
              <w:pStyle w:val="Body"/>
              <w:ind w:right="-142"/>
              <w:rPr>
                <w:rFonts w:ascii="Arial" w:hAnsi="Arial" w:cs="Arial"/>
                <w:color w:val="000000" w:themeColor="text1"/>
              </w:rPr>
            </w:pPr>
          </w:p>
          <w:p w14:paraId="20B5007D" w14:textId="78081CFE" w:rsidR="00431D6C" w:rsidRPr="00440936" w:rsidRDefault="00431D6C" w:rsidP="00F93294">
            <w:pPr>
              <w:pStyle w:val="NormalWeb"/>
              <w:shd w:val="clear" w:color="auto" w:fill="FFFFFF"/>
              <w:spacing w:after="260" w:line="312" w:lineRule="atLeast"/>
              <w:ind w:right="-142"/>
              <w:jc w:val="both"/>
              <w:textAlignment w:val="baseline"/>
              <w:rPr>
                <w:rFonts w:ascii="Arial" w:hAnsi="Arial" w:cs="Arial"/>
                <w:color w:val="000000" w:themeColor="text1"/>
                <w:sz w:val="26"/>
                <w:szCs w:val="26"/>
              </w:rPr>
            </w:pPr>
            <w:r w:rsidRPr="00440936">
              <w:rPr>
                <w:rFonts w:ascii="Arial" w:hAnsi="Arial" w:cs="Arial"/>
                <w:color w:val="000000" w:themeColor="text1"/>
              </w:rPr>
              <w:t>Suspect adenovirus and herpes if NGU persist despite antibiotic treatment. Adenovirus is typically associated with conjunctivitis. Herpes may be present in the absence of ulceration. Trichomonas is uncommon in Australian cities but should be suspected if there has been sex overseas or if NGU persists despite initial antibiotic treatment. Wet preparation for trichomonas from a urethral swab is insensitive: PCR is more sensitive.</w:t>
            </w:r>
          </w:p>
        </w:tc>
      </w:tr>
    </w:tbl>
    <w:p w14:paraId="729B3D77" w14:textId="00B7ACA9" w:rsidR="009631D2" w:rsidRPr="00440936" w:rsidRDefault="00431D6C" w:rsidP="00F93294">
      <w:pPr>
        <w:pStyle w:val="Body"/>
        <w:ind w:right="-142"/>
        <w:rPr>
          <w:rFonts w:ascii="Arial" w:hAnsi="Arial" w:cs="Arial"/>
          <w:b/>
          <w:bCs/>
          <w:color w:val="000000" w:themeColor="text1"/>
        </w:rPr>
      </w:pPr>
      <w:r w:rsidRPr="00440936">
        <w:rPr>
          <w:rFonts w:ascii="Arial" w:hAnsi="Arial" w:cs="Arial"/>
          <w:b/>
          <w:bCs/>
          <w:color w:val="000000" w:themeColor="text1"/>
        </w:rPr>
        <w:t>NAAT = nucleic acid amplification test</w:t>
      </w:r>
    </w:p>
    <w:p w14:paraId="489202EE" w14:textId="77777777" w:rsidR="009631D2" w:rsidRPr="00440936" w:rsidRDefault="009631D2" w:rsidP="00F93294">
      <w:pPr>
        <w:pStyle w:val="Body"/>
        <w:ind w:right="-142"/>
        <w:rPr>
          <w:rFonts w:ascii="Arial" w:hAnsi="Arial" w:cs="Arial"/>
          <w:b/>
          <w:bCs/>
          <w:color w:val="000000" w:themeColor="text1"/>
          <w:lang w:val="en-GB"/>
        </w:rPr>
      </w:pPr>
    </w:p>
    <w:p w14:paraId="24873250" w14:textId="77777777" w:rsidR="009631D2" w:rsidRPr="00F93294" w:rsidRDefault="009631D2" w:rsidP="00F93294">
      <w:pPr>
        <w:pStyle w:val="Heading1"/>
        <w:ind w:right="-142"/>
        <w:rPr>
          <w:rFonts w:ascii="Arial" w:hAnsi="Arial" w:cs="Arial"/>
          <w:b/>
          <w:bCs/>
          <w:color w:val="000000" w:themeColor="text1"/>
        </w:rPr>
      </w:pPr>
      <w:r w:rsidRPr="00F93294">
        <w:rPr>
          <w:rFonts w:ascii="Arial" w:hAnsi="Arial" w:cs="Arial"/>
          <w:b/>
          <w:bCs/>
          <w:color w:val="000000" w:themeColor="text1"/>
        </w:rPr>
        <w:t>Management</w:t>
      </w:r>
    </w:p>
    <w:p w14:paraId="71A1F655" w14:textId="77777777" w:rsidR="009631D2" w:rsidRPr="00440936" w:rsidRDefault="009631D2" w:rsidP="00F93294">
      <w:pPr>
        <w:ind w:right="-142"/>
        <w:rPr>
          <w:rFonts w:ascii="Arial" w:hAnsi="Arial" w:cs="Arial"/>
          <w:color w:val="000000" w:themeColor="text1"/>
        </w:rPr>
      </w:pPr>
    </w:p>
    <w:tbl>
      <w:tblPr>
        <w:tblW w:w="9356" w:type="dxa"/>
        <w:tblInd w:w="137" w:type="dxa"/>
        <w:tblBorders>
          <w:top w:val="single" w:sz="8" w:space="0" w:color="000000"/>
          <w:left w:val="single" w:sz="8" w:space="0" w:color="000000"/>
          <w:bottom w:val="single" w:sz="8" w:space="0" w:color="000000"/>
          <w:right w:val="single" w:sz="8" w:space="0" w:color="000000"/>
        </w:tblBorders>
        <w:tblLook w:val="00A0" w:firstRow="1" w:lastRow="0" w:firstColumn="1" w:lastColumn="0" w:noHBand="0" w:noVBand="0"/>
      </w:tblPr>
      <w:tblGrid>
        <w:gridCol w:w="1788"/>
        <w:gridCol w:w="2606"/>
        <w:gridCol w:w="4962"/>
      </w:tblGrid>
      <w:tr w:rsidR="00440936" w:rsidRPr="00440936" w14:paraId="1406A706" w14:textId="77777777" w:rsidTr="00F93294">
        <w:trPr>
          <w:trHeight w:val="251"/>
        </w:trPr>
        <w:tc>
          <w:tcPr>
            <w:tcW w:w="1788" w:type="dxa"/>
            <w:tcBorders>
              <w:top w:val="single" w:sz="4" w:space="0" w:color="auto"/>
              <w:left w:val="single" w:sz="4" w:space="0" w:color="auto"/>
              <w:bottom w:val="single" w:sz="4" w:space="0" w:color="auto"/>
              <w:right w:val="single" w:sz="4" w:space="0" w:color="auto"/>
            </w:tcBorders>
            <w:shd w:val="clear" w:color="auto" w:fill="595959"/>
          </w:tcPr>
          <w:p w14:paraId="6D7421D3" w14:textId="77777777" w:rsidR="009631D2" w:rsidRPr="00440936" w:rsidRDefault="009631D2" w:rsidP="00F93294">
            <w:pPr>
              <w:ind w:left="452" w:right="-142"/>
              <w:jc w:val="center"/>
              <w:rPr>
                <w:rFonts w:ascii="Arial" w:hAnsi="Arial" w:cs="Arial"/>
                <w:b/>
                <w:bCs/>
                <w:color w:val="000000" w:themeColor="text1"/>
              </w:rPr>
            </w:pPr>
            <w:r w:rsidRPr="00440936">
              <w:rPr>
                <w:rFonts w:ascii="Arial" w:hAnsi="Arial" w:cs="Arial"/>
                <w:b/>
                <w:bCs/>
                <w:color w:val="000000" w:themeColor="text1"/>
              </w:rPr>
              <w:t>Condition</w:t>
            </w:r>
          </w:p>
        </w:tc>
        <w:tc>
          <w:tcPr>
            <w:tcW w:w="2606" w:type="dxa"/>
            <w:tcBorders>
              <w:top w:val="single" w:sz="4" w:space="0" w:color="auto"/>
              <w:left w:val="single" w:sz="4" w:space="0" w:color="auto"/>
              <w:bottom w:val="single" w:sz="4" w:space="0" w:color="auto"/>
              <w:right w:val="single" w:sz="4" w:space="0" w:color="auto"/>
            </w:tcBorders>
            <w:shd w:val="clear" w:color="auto" w:fill="595959"/>
          </w:tcPr>
          <w:p w14:paraId="1B427ABD" w14:textId="77777777" w:rsidR="009631D2" w:rsidRPr="00440936" w:rsidRDefault="009631D2" w:rsidP="00F93294">
            <w:pPr>
              <w:ind w:left="452" w:right="-142"/>
              <w:jc w:val="center"/>
              <w:rPr>
                <w:rFonts w:ascii="Arial" w:hAnsi="Arial" w:cs="Arial"/>
                <w:b/>
                <w:color w:val="000000" w:themeColor="text1"/>
              </w:rPr>
            </w:pPr>
            <w:r w:rsidRPr="00440936">
              <w:rPr>
                <w:rFonts w:ascii="Arial" w:hAnsi="Arial" w:cs="Arial"/>
                <w:b/>
                <w:color w:val="000000" w:themeColor="text1"/>
              </w:rPr>
              <w:t>Recommended</w:t>
            </w:r>
          </w:p>
        </w:tc>
        <w:tc>
          <w:tcPr>
            <w:tcW w:w="4962" w:type="dxa"/>
            <w:tcBorders>
              <w:top w:val="single" w:sz="4" w:space="0" w:color="auto"/>
              <w:left w:val="single" w:sz="4" w:space="0" w:color="auto"/>
              <w:bottom w:val="single" w:sz="4" w:space="0" w:color="auto"/>
              <w:right w:val="single" w:sz="4" w:space="0" w:color="auto"/>
            </w:tcBorders>
            <w:shd w:val="clear" w:color="auto" w:fill="595959"/>
          </w:tcPr>
          <w:p w14:paraId="606B6B77" w14:textId="77777777" w:rsidR="009631D2" w:rsidRPr="00440936" w:rsidRDefault="009631D2" w:rsidP="00F93294">
            <w:pPr>
              <w:ind w:left="452" w:right="-142"/>
              <w:jc w:val="center"/>
              <w:rPr>
                <w:rFonts w:ascii="Arial" w:hAnsi="Arial" w:cs="Arial"/>
                <w:b/>
                <w:color w:val="000000" w:themeColor="text1"/>
              </w:rPr>
            </w:pPr>
            <w:r w:rsidRPr="00440936">
              <w:rPr>
                <w:rFonts w:ascii="Arial" w:hAnsi="Arial" w:cs="Arial"/>
                <w:b/>
                <w:color w:val="000000" w:themeColor="text1"/>
              </w:rPr>
              <w:t>Comments</w:t>
            </w:r>
          </w:p>
        </w:tc>
      </w:tr>
      <w:tr w:rsidR="00440936" w:rsidRPr="00440936" w14:paraId="353D7B70" w14:textId="77777777" w:rsidTr="00F93294">
        <w:trPr>
          <w:trHeight w:val="251"/>
        </w:trPr>
        <w:tc>
          <w:tcPr>
            <w:tcW w:w="1788" w:type="dxa"/>
            <w:tcBorders>
              <w:top w:val="single" w:sz="4" w:space="0" w:color="auto"/>
              <w:left w:val="single" w:sz="4" w:space="0" w:color="auto"/>
              <w:bottom w:val="single" w:sz="4" w:space="0" w:color="auto"/>
              <w:right w:val="single" w:sz="4" w:space="0" w:color="auto"/>
            </w:tcBorders>
          </w:tcPr>
          <w:p w14:paraId="5E424F25" w14:textId="36258D00" w:rsidR="009631D2" w:rsidRPr="00440936" w:rsidRDefault="00FC7DF7" w:rsidP="00F93294">
            <w:pPr>
              <w:ind w:right="-142"/>
              <w:rPr>
                <w:rFonts w:ascii="Arial" w:hAnsi="Arial" w:cs="Arial"/>
                <w:b/>
                <w:bCs/>
                <w:color w:val="000000" w:themeColor="text1"/>
              </w:rPr>
            </w:pPr>
            <w:r w:rsidRPr="00440936">
              <w:rPr>
                <w:rFonts w:ascii="Arial" w:hAnsi="Arial" w:cs="Arial"/>
                <w:b/>
                <w:bCs/>
                <w:color w:val="000000" w:themeColor="text1"/>
              </w:rPr>
              <w:t>Non-gonococcal urethritis</w:t>
            </w:r>
          </w:p>
        </w:tc>
        <w:tc>
          <w:tcPr>
            <w:tcW w:w="2606" w:type="dxa"/>
            <w:tcBorders>
              <w:top w:val="single" w:sz="4" w:space="0" w:color="auto"/>
              <w:left w:val="single" w:sz="4" w:space="0" w:color="auto"/>
              <w:bottom w:val="single" w:sz="4" w:space="0" w:color="auto"/>
              <w:right w:val="single" w:sz="4" w:space="0" w:color="auto"/>
            </w:tcBorders>
          </w:tcPr>
          <w:p w14:paraId="30E32099" w14:textId="660E2219" w:rsidR="009631D2" w:rsidRPr="00440936" w:rsidRDefault="00FC7DF7" w:rsidP="00F93294">
            <w:pPr>
              <w:pStyle w:val="Bullets"/>
              <w:ind w:right="-142"/>
              <w:rPr>
                <w:rFonts w:ascii="Arial" w:eastAsia="Times New Roman" w:hAnsi="Arial" w:cs="Arial"/>
                <w:b/>
                <w:bCs/>
                <w:color w:val="000000" w:themeColor="text1"/>
                <w:sz w:val="24"/>
                <w:szCs w:val="24"/>
                <w:lang w:val="pl-PL"/>
              </w:rPr>
            </w:pPr>
            <w:proofErr w:type="spellStart"/>
            <w:r w:rsidRPr="00440936">
              <w:rPr>
                <w:rFonts w:ascii="Arial" w:eastAsia="Times New Roman" w:hAnsi="Arial" w:cs="Arial"/>
                <w:b/>
                <w:bCs/>
                <w:color w:val="000000" w:themeColor="text1"/>
                <w:sz w:val="24"/>
                <w:szCs w:val="24"/>
                <w:lang w:val="pl-PL"/>
              </w:rPr>
              <w:t>Doxycycline</w:t>
            </w:r>
            <w:proofErr w:type="spellEnd"/>
            <w:r w:rsidRPr="00440936">
              <w:rPr>
                <w:rFonts w:ascii="Arial" w:eastAsia="Times New Roman" w:hAnsi="Arial" w:cs="Arial"/>
                <w:b/>
                <w:bCs/>
                <w:color w:val="000000" w:themeColor="text1"/>
                <w:sz w:val="24"/>
                <w:szCs w:val="24"/>
                <w:lang w:val="pl-PL"/>
              </w:rPr>
              <w:t xml:space="preserve"> 100 mg, </w:t>
            </w:r>
            <w:proofErr w:type="spellStart"/>
            <w:r w:rsidRPr="00440936">
              <w:rPr>
                <w:rFonts w:ascii="Arial" w:eastAsia="Times New Roman" w:hAnsi="Arial" w:cs="Arial"/>
                <w:b/>
                <w:bCs/>
                <w:color w:val="000000" w:themeColor="text1"/>
                <w:sz w:val="24"/>
                <w:szCs w:val="24"/>
                <w:lang w:val="pl-PL"/>
              </w:rPr>
              <w:t>twice</w:t>
            </w:r>
            <w:proofErr w:type="spellEnd"/>
            <w:r w:rsidRPr="00440936">
              <w:rPr>
                <w:rFonts w:ascii="Arial" w:eastAsia="Times New Roman" w:hAnsi="Arial" w:cs="Arial"/>
                <w:b/>
                <w:bCs/>
                <w:color w:val="000000" w:themeColor="text1"/>
                <w:sz w:val="24"/>
                <w:szCs w:val="24"/>
                <w:lang w:val="pl-PL"/>
              </w:rPr>
              <w:t xml:space="preserve"> </w:t>
            </w:r>
            <w:proofErr w:type="spellStart"/>
            <w:r w:rsidRPr="00440936">
              <w:rPr>
                <w:rFonts w:ascii="Arial" w:eastAsia="Times New Roman" w:hAnsi="Arial" w:cs="Arial"/>
                <w:b/>
                <w:bCs/>
                <w:color w:val="000000" w:themeColor="text1"/>
                <w:sz w:val="24"/>
                <w:szCs w:val="24"/>
                <w:lang w:val="pl-PL"/>
              </w:rPr>
              <w:t>daily</w:t>
            </w:r>
            <w:proofErr w:type="spellEnd"/>
            <w:r w:rsidRPr="00440936">
              <w:rPr>
                <w:rFonts w:ascii="Arial" w:eastAsia="Times New Roman" w:hAnsi="Arial" w:cs="Arial"/>
                <w:b/>
                <w:bCs/>
                <w:color w:val="000000" w:themeColor="text1"/>
                <w:sz w:val="24"/>
                <w:szCs w:val="24"/>
                <w:lang w:val="pl-PL"/>
              </w:rPr>
              <w:t xml:space="preserve"> for 1 </w:t>
            </w:r>
            <w:proofErr w:type="spellStart"/>
            <w:r w:rsidRPr="00440936">
              <w:rPr>
                <w:rFonts w:ascii="Arial" w:eastAsia="Times New Roman" w:hAnsi="Arial" w:cs="Arial"/>
                <w:b/>
                <w:bCs/>
                <w:color w:val="000000" w:themeColor="text1"/>
                <w:sz w:val="24"/>
                <w:szCs w:val="24"/>
                <w:lang w:val="pl-PL"/>
              </w:rPr>
              <w:t>week</w:t>
            </w:r>
            <w:proofErr w:type="spellEnd"/>
          </w:p>
        </w:tc>
        <w:tc>
          <w:tcPr>
            <w:tcW w:w="4962" w:type="dxa"/>
            <w:tcBorders>
              <w:top w:val="single" w:sz="4" w:space="0" w:color="auto"/>
              <w:left w:val="single" w:sz="4" w:space="0" w:color="auto"/>
              <w:bottom w:val="single" w:sz="4" w:space="0" w:color="auto"/>
              <w:right w:val="single" w:sz="4" w:space="0" w:color="auto"/>
            </w:tcBorders>
          </w:tcPr>
          <w:p w14:paraId="22F520A3" w14:textId="77777777" w:rsidR="009631D2" w:rsidRPr="00440936" w:rsidRDefault="00FC7DF7" w:rsidP="00F93294">
            <w:pPr>
              <w:pStyle w:val="Body"/>
              <w:ind w:right="-142"/>
              <w:rPr>
                <w:rFonts w:ascii="Arial" w:hAnsi="Arial" w:cs="Arial"/>
                <w:color w:val="000000" w:themeColor="text1"/>
              </w:rPr>
            </w:pPr>
            <w:r w:rsidRPr="00440936">
              <w:rPr>
                <w:rFonts w:ascii="Arial" w:hAnsi="Arial" w:cs="Arial"/>
                <w:color w:val="000000" w:themeColor="text1"/>
              </w:rPr>
              <w:t xml:space="preserve">Alternative is </w:t>
            </w:r>
            <w:r w:rsidRPr="00440936">
              <w:rPr>
                <w:rFonts w:ascii="Arial" w:hAnsi="Arial" w:cs="Arial"/>
                <w:b/>
                <w:bCs/>
                <w:color w:val="000000" w:themeColor="text1"/>
              </w:rPr>
              <w:t>Azithromycin 1 g as a single dose</w:t>
            </w:r>
            <w:r w:rsidR="009631D2" w:rsidRPr="00440936">
              <w:rPr>
                <w:rFonts w:ascii="Arial" w:hAnsi="Arial" w:cs="Arial"/>
                <w:color w:val="000000" w:themeColor="text1"/>
              </w:rPr>
              <w:t xml:space="preserve"> </w:t>
            </w:r>
          </w:p>
          <w:p w14:paraId="4A092377" w14:textId="77777777" w:rsidR="00FC7DF7" w:rsidRPr="00440936" w:rsidRDefault="00FC7DF7" w:rsidP="00F93294">
            <w:pPr>
              <w:pStyle w:val="Body"/>
              <w:ind w:right="-142"/>
              <w:rPr>
                <w:rFonts w:ascii="Arial" w:hAnsi="Arial" w:cs="Arial"/>
                <w:color w:val="000000" w:themeColor="text1"/>
              </w:rPr>
            </w:pPr>
          </w:p>
          <w:p w14:paraId="2E9D8440" w14:textId="77777777" w:rsidR="00FC7DF7" w:rsidRPr="00440936" w:rsidRDefault="00FC7DF7" w:rsidP="00F93294">
            <w:pPr>
              <w:pStyle w:val="Body"/>
              <w:ind w:right="-142"/>
              <w:rPr>
                <w:rFonts w:ascii="Arial" w:hAnsi="Arial" w:cs="Arial"/>
                <w:color w:val="000000" w:themeColor="text1"/>
              </w:rPr>
            </w:pPr>
            <w:r w:rsidRPr="00440936">
              <w:rPr>
                <w:rFonts w:ascii="Arial" w:hAnsi="Arial" w:cs="Arial"/>
                <w:color w:val="000000" w:themeColor="text1"/>
              </w:rPr>
              <w:t xml:space="preserve">Add </w:t>
            </w:r>
            <w:r w:rsidRPr="00440936">
              <w:rPr>
                <w:rFonts w:ascii="Arial" w:hAnsi="Arial" w:cs="Arial"/>
                <w:b/>
                <w:bCs/>
                <w:color w:val="000000" w:themeColor="text1"/>
              </w:rPr>
              <w:t>ceftriaxone 500mg in 2ml of 1% lignocaine by intramuscular injection</w:t>
            </w:r>
            <w:r w:rsidRPr="00440936">
              <w:rPr>
                <w:rFonts w:ascii="Arial" w:hAnsi="Arial" w:cs="Arial"/>
                <w:color w:val="000000" w:themeColor="text1"/>
              </w:rPr>
              <w:t xml:space="preserve"> if </w:t>
            </w:r>
            <w:proofErr w:type="spellStart"/>
            <w:r w:rsidRPr="00440936">
              <w:rPr>
                <w:rFonts w:ascii="Arial" w:hAnsi="Arial" w:cs="Arial"/>
                <w:color w:val="000000" w:themeColor="text1"/>
              </w:rPr>
              <w:t>gonorrhoea</w:t>
            </w:r>
            <w:proofErr w:type="spellEnd"/>
            <w:r w:rsidRPr="00440936">
              <w:rPr>
                <w:rFonts w:ascii="Arial" w:hAnsi="Arial" w:cs="Arial"/>
                <w:color w:val="000000" w:themeColor="text1"/>
              </w:rPr>
              <w:t xml:space="preserve"> is suspected or cannot be excluded </w:t>
            </w:r>
            <w:proofErr w:type="gramStart"/>
            <w:r w:rsidRPr="00440936">
              <w:rPr>
                <w:rFonts w:ascii="Arial" w:hAnsi="Arial" w:cs="Arial"/>
                <w:color w:val="000000" w:themeColor="text1"/>
              </w:rPr>
              <w:t>e.g.</w:t>
            </w:r>
            <w:proofErr w:type="gramEnd"/>
            <w:r w:rsidRPr="00440936">
              <w:rPr>
                <w:rFonts w:ascii="Arial" w:hAnsi="Arial" w:cs="Arial"/>
                <w:color w:val="000000" w:themeColor="text1"/>
              </w:rPr>
              <w:t xml:space="preserve"> if there is purulent discharge and risk factors for </w:t>
            </w:r>
            <w:proofErr w:type="spellStart"/>
            <w:r w:rsidRPr="00440936">
              <w:rPr>
                <w:rFonts w:ascii="Arial" w:hAnsi="Arial" w:cs="Arial"/>
                <w:color w:val="000000" w:themeColor="text1"/>
              </w:rPr>
              <w:t>gonorrhoea</w:t>
            </w:r>
            <w:proofErr w:type="spellEnd"/>
            <w:r w:rsidRPr="00440936">
              <w:rPr>
                <w:rFonts w:ascii="Arial" w:hAnsi="Arial" w:cs="Arial"/>
                <w:color w:val="000000" w:themeColor="text1"/>
              </w:rPr>
              <w:t xml:space="preserve"> such as sex overseas or men who have sex with men.</w:t>
            </w:r>
          </w:p>
          <w:p w14:paraId="24D38F69" w14:textId="77777777" w:rsidR="00FC7DF7" w:rsidRPr="00440936" w:rsidRDefault="00FC7DF7" w:rsidP="00F93294">
            <w:pPr>
              <w:pStyle w:val="Body"/>
              <w:ind w:right="-142"/>
              <w:rPr>
                <w:rFonts w:ascii="Arial" w:hAnsi="Arial" w:cs="Arial"/>
                <w:color w:val="000000" w:themeColor="text1"/>
              </w:rPr>
            </w:pPr>
          </w:p>
          <w:p w14:paraId="0703BB84" w14:textId="63318563" w:rsidR="00FC7DF7" w:rsidRPr="00440936" w:rsidRDefault="00FC7DF7" w:rsidP="00F93294">
            <w:pPr>
              <w:pStyle w:val="Body"/>
              <w:ind w:right="-142"/>
              <w:rPr>
                <w:rFonts w:ascii="Arial" w:hAnsi="Arial" w:cs="Arial"/>
                <w:color w:val="000000" w:themeColor="text1"/>
              </w:rPr>
            </w:pPr>
            <w:r w:rsidRPr="00440936">
              <w:rPr>
                <w:rFonts w:ascii="Arial" w:hAnsi="Arial" w:cs="Arial"/>
                <w:color w:val="000000" w:themeColor="text1"/>
              </w:rPr>
              <w:t xml:space="preserve">If trichomonas is suspected add </w:t>
            </w:r>
            <w:r w:rsidRPr="00440936">
              <w:rPr>
                <w:rFonts w:ascii="Arial" w:hAnsi="Arial" w:cs="Arial"/>
                <w:b/>
                <w:bCs/>
                <w:color w:val="000000" w:themeColor="text1"/>
              </w:rPr>
              <w:t>tinidazole or metronidazole 2 gram as a single dose.</w:t>
            </w:r>
            <w:r w:rsidRPr="00440936">
              <w:rPr>
                <w:rFonts w:ascii="Arial" w:hAnsi="Arial" w:cs="Arial"/>
                <w:b/>
                <w:bCs/>
                <w:color w:val="000000" w:themeColor="text1"/>
              </w:rPr>
              <w:br/>
            </w:r>
          </w:p>
        </w:tc>
      </w:tr>
      <w:tr w:rsidR="00440936" w:rsidRPr="00440936" w14:paraId="711A47C6" w14:textId="77777777" w:rsidTr="00F93294">
        <w:trPr>
          <w:trHeight w:val="251"/>
        </w:trPr>
        <w:tc>
          <w:tcPr>
            <w:tcW w:w="1788" w:type="dxa"/>
            <w:tcBorders>
              <w:top w:val="single" w:sz="4" w:space="0" w:color="auto"/>
              <w:left w:val="single" w:sz="4" w:space="0" w:color="auto"/>
              <w:bottom w:val="single" w:sz="4" w:space="0" w:color="auto"/>
              <w:right w:val="single" w:sz="4" w:space="0" w:color="auto"/>
            </w:tcBorders>
          </w:tcPr>
          <w:p w14:paraId="12B55247" w14:textId="0B62A58C" w:rsidR="009631D2" w:rsidRPr="00440936" w:rsidRDefault="00FC7DF7" w:rsidP="00F93294">
            <w:pPr>
              <w:ind w:right="-142"/>
              <w:rPr>
                <w:rFonts w:ascii="Arial" w:hAnsi="Arial" w:cs="Arial"/>
                <w:b/>
                <w:bCs/>
                <w:color w:val="000000" w:themeColor="text1"/>
              </w:rPr>
            </w:pPr>
            <w:r w:rsidRPr="00440936">
              <w:rPr>
                <w:rFonts w:ascii="Arial" w:hAnsi="Arial" w:cs="Arial"/>
                <w:b/>
                <w:bCs/>
                <w:color w:val="000000" w:themeColor="text1"/>
              </w:rPr>
              <w:t>NGU – viral cause suspected</w:t>
            </w:r>
          </w:p>
        </w:tc>
        <w:tc>
          <w:tcPr>
            <w:tcW w:w="2606" w:type="dxa"/>
            <w:tcBorders>
              <w:top w:val="single" w:sz="4" w:space="0" w:color="auto"/>
              <w:left w:val="single" w:sz="4" w:space="0" w:color="auto"/>
              <w:bottom w:val="single" w:sz="4" w:space="0" w:color="auto"/>
              <w:right w:val="single" w:sz="4" w:space="0" w:color="auto"/>
            </w:tcBorders>
          </w:tcPr>
          <w:p w14:paraId="5122386C" w14:textId="29848144" w:rsidR="009631D2" w:rsidRPr="00440936" w:rsidRDefault="00FC7DF7" w:rsidP="00F93294">
            <w:pPr>
              <w:pStyle w:val="Bullets"/>
              <w:ind w:right="-142"/>
              <w:rPr>
                <w:rFonts w:ascii="Arial" w:eastAsia="Times New Roman" w:hAnsi="Arial" w:cs="Arial"/>
                <w:color w:val="000000" w:themeColor="text1"/>
                <w:sz w:val="24"/>
                <w:szCs w:val="24"/>
                <w:lang w:val="pl-PL"/>
              </w:rPr>
            </w:pPr>
            <w:proofErr w:type="spellStart"/>
            <w:r w:rsidRPr="00440936">
              <w:rPr>
                <w:rFonts w:ascii="Arial" w:eastAsia="Times New Roman" w:hAnsi="Arial" w:cs="Arial"/>
                <w:color w:val="000000" w:themeColor="text1"/>
                <w:sz w:val="24"/>
                <w:szCs w:val="24"/>
                <w:lang w:val="pl-PL"/>
              </w:rPr>
              <w:t>Consider</w:t>
            </w:r>
            <w:proofErr w:type="spellEnd"/>
            <w:r w:rsidRPr="00440936">
              <w:rPr>
                <w:rFonts w:ascii="Arial" w:eastAsia="Times New Roman" w:hAnsi="Arial" w:cs="Arial"/>
                <w:color w:val="000000" w:themeColor="text1"/>
                <w:sz w:val="24"/>
                <w:szCs w:val="24"/>
                <w:lang w:val="pl-PL"/>
              </w:rPr>
              <w:t xml:space="preserve"> </w:t>
            </w:r>
            <w:proofErr w:type="spellStart"/>
            <w:r w:rsidRPr="00440936">
              <w:rPr>
                <w:rFonts w:ascii="Arial" w:eastAsia="Times New Roman" w:hAnsi="Arial" w:cs="Arial"/>
                <w:color w:val="000000" w:themeColor="text1"/>
                <w:sz w:val="24"/>
                <w:szCs w:val="24"/>
                <w:lang w:val="pl-PL"/>
              </w:rPr>
              <w:t>antiviral</w:t>
            </w:r>
            <w:proofErr w:type="spellEnd"/>
            <w:r w:rsidRPr="00440936">
              <w:rPr>
                <w:rFonts w:ascii="Arial" w:eastAsia="Times New Roman" w:hAnsi="Arial" w:cs="Arial"/>
                <w:color w:val="000000" w:themeColor="text1"/>
                <w:sz w:val="24"/>
                <w:szCs w:val="24"/>
                <w:lang w:val="pl-PL"/>
              </w:rPr>
              <w:t xml:space="preserve"> for </w:t>
            </w:r>
            <w:hyperlink r:id="rId7" w:history="1">
              <w:proofErr w:type="spellStart"/>
              <w:r w:rsidRPr="00440936">
                <w:rPr>
                  <w:rStyle w:val="Hyperlink"/>
                  <w:rFonts w:ascii="Arial" w:eastAsia="Times New Roman" w:hAnsi="Arial" w:cs="Arial"/>
                  <w:sz w:val="24"/>
                  <w:szCs w:val="24"/>
                  <w:lang w:val="pl-PL"/>
                </w:rPr>
                <w:t>herpes</w:t>
              </w:r>
              <w:proofErr w:type="spellEnd"/>
            </w:hyperlink>
            <w:r w:rsidRPr="00440936">
              <w:rPr>
                <w:rFonts w:ascii="Arial" w:eastAsia="Times New Roman" w:hAnsi="Arial" w:cs="Arial"/>
                <w:color w:val="000000" w:themeColor="text1"/>
                <w:sz w:val="24"/>
                <w:szCs w:val="24"/>
                <w:lang w:val="pl-PL"/>
              </w:rPr>
              <w:t xml:space="preserve"> </w:t>
            </w:r>
          </w:p>
        </w:tc>
        <w:tc>
          <w:tcPr>
            <w:tcW w:w="4962" w:type="dxa"/>
            <w:tcBorders>
              <w:top w:val="single" w:sz="4" w:space="0" w:color="auto"/>
              <w:left w:val="single" w:sz="4" w:space="0" w:color="auto"/>
              <w:bottom w:val="single" w:sz="4" w:space="0" w:color="auto"/>
              <w:right w:val="single" w:sz="4" w:space="0" w:color="auto"/>
            </w:tcBorders>
          </w:tcPr>
          <w:p w14:paraId="40CC1A50" w14:textId="59A11533" w:rsidR="009631D2" w:rsidRPr="00440936" w:rsidRDefault="00FC7DF7" w:rsidP="00F93294">
            <w:pPr>
              <w:pStyle w:val="Body"/>
              <w:ind w:right="-142"/>
              <w:rPr>
                <w:rFonts w:ascii="Arial" w:hAnsi="Arial" w:cs="Arial"/>
                <w:color w:val="000000" w:themeColor="text1"/>
              </w:rPr>
            </w:pPr>
            <w:r w:rsidRPr="00440936">
              <w:rPr>
                <w:rFonts w:ascii="Arial" w:hAnsi="Arial" w:cs="Arial"/>
                <w:color w:val="000000" w:themeColor="text1"/>
              </w:rPr>
              <w:t>Antivirals will only benefit individuals with herpes urethritis and are not effective for adenovirus.</w:t>
            </w:r>
          </w:p>
        </w:tc>
      </w:tr>
    </w:tbl>
    <w:p w14:paraId="2E6A310C" w14:textId="77777777" w:rsidR="008F007E" w:rsidRPr="00440936" w:rsidRDefault="008F007E" w:rsidP="00F93294">
      <w:pPr>
        <w:pStyle w:val="Heading2"/>
        <w:ind w:right="-142"/>
        <w:rPr>
          <w:rFonts w:ascii="Arial" w:hAnsi="Arial" w:cs="Arial"/>
          <w:color w:val="000000" w:themeColor="text1"/>
        </w:rPr>
      </w:pPr>
    </w:p>
    <w:p w14:paraId="05B6B2A3" w14:textId="457180E2" w:rsidR="009631D2" w:rsidRPr="00440936" w:rsidRDefault="008F007E" w:rsidP="00F93294">
      <w:pPr>
        <w:pStyle w:val="Heading2"/>
        <w:ind w:right="-142"/>
        <w:rPr>
          <w:rFonts w:ascii="Arial" w:hAnsi="Arial" w:cs="Arial"/>
          <w:color w:val="000000" w:themeColor="text1"/>
        </w:rPr>
      </w:pPr>
      <w:r w:rsidRPr="00440936">
        <w:rPr>
          <w:rFonts w:ascii="Arial" w:hAnsi="Arial" w:cs="Arial"/>
          <w:color w:val="000000" w:themeColor="text1"/>
        </w:rPr>
        <w:t>Follow up</w:t>
      </w:r>
    </w:p>
    <w:p w14:paraId="26432BCC" w14:textId="77777777" w:rsidR="008F007E" w:rsidRPr="00440936" w:rsidRDefault="008F007E" w:rsidP="00F93294">
      <w:pPr>
        <w:pStyle w:val="Body"/>
        <w:numPr>
          <w:ilvl w:val="0"/>
          <w:numId w:val="10"/>
        </w:numPr>
        <w:ind w:right="-142"/>
        <w:rPr>
          <w:rFonts w:ascii="Arial" w:hAnsi="Arial" w:cs="Arial"/>
          <w:b/>
          <w:bCs/>
          <w:color w:val="000000" w:themeColor="text1"/>
        </w:rPr>
      </w:pPr>
      <w:r w:rsidRPr="00440936">
        <w:rPr>
          <w:rFonts w:ascii="Arial" w:hAnsi="Arial" w:cs="Arial"/>
          <w:color w:val="000000" w:themeColor="text1"/>
        </w:rPr>
        <w:t xml:space="preserve">If a specific pathogen (chlamydia, </w:t>
      </w:r>
      <w:proofErr w:type="spellStart"/>
      <w:r w:rsidRPr="00440936">
        <w:rPr>
          <w:rFonts w:ascii="Arial" w:hAnsi="Arial" w:cs="Arial"/>
          <w:color w:val="000000" w:themeColor="text1"/>
        </w:rPr>
        <w:t>gonorrhoea</w:t>
      </w:r>
      <w:proofErr w:type="spellEnd"/>
      <w:r w:rsidRPr="00440936">
        <w:rPr>
          <w:rFonts w:ascii="Arial" w:hAnsi="Arial" w:cs="Arial"/>
          <w:color w:val="000000" w:themeColor="text1"/>
        </w:rPr>
        <w:t xml:space="preserve"> or </w:t>
      </w:r>
      <w:r w:rsidRPr="00440936">
        <w:rPr>
          <w:rFonts w:ascii="Arial" w:hAnsi="Arial" w:cs="Arial"/>
          <w:i/>
          <w:iCs/>
          <w:color w:val="000000" w:themeColor="text1"/>
        </w:rPr>
        <w:t>M. genitalium</w:t>
      </w:r>
      <w:r w:rsidRPr="00440936">
        <w:rPr>
          <w:rFonts w:ascii="Arial" w:hAnsi="Arial" w:cs="Arial"/>
          <w:color w:val="000000" w:themeColor="text1"/>
        </w:rPr>
        <w:t>) is confirmed on testing please refer to the relevant MSHC treatment guideline for specific treatment, advice on tests of cure or tests for re-infection, and management of sexual partners.</w:t>
      </w:r>
    </w:p>
    <w:p w14:paraId="55E588F1" w14:textId="77777777" w:rsidR="008F007E" w:rsidRPr="00440936" w:rsidRDefault="008F007E" w:rsidP="00F93294">
      <w:pPr>
        <w:pStyle w:val="Body"/>
        <w:numPr>
          <w:ilvl w:val="0"/>
          <w:numId w:val="10"/>
        </w:numPr>
        <w:ind w:right="-142"/>
        <w:rPr>
          <w:rFonts w:ascii="Arial" w:hAnsi="Arial" w:cs="Arial"/>
          <w:b/>
          <w:bCs/>
          <w:color w:val="000000" w:themeColor="text1"/>
        </w:rPr>
      </w:pPr>
      <w:r w:rsidRPr="00440936">
        <w:rPr>
          <w:rFonts w:ascii="Arial" w:hAnsi="Arial" w:cs="Arial"/>
          <w:color w:val="000000" w:themeColor="text1"/>
        </w:rPr>
        <w:t>NGU usually improves within a few days but occasionally takes 2-3 weeks to resolve completely. With persistent symptoms consider:</w:t>
      </w:r>
    </w:p>
    <w:p w14:paraId="59FA96B6" w14:textId="77777777" w:rsidR="008F007E" w:rsidRPr="00440936" w:rsidRDefault="008F007E" w:rsidP="00F93294">
      <w:pPr>
        <w:pStyle w:val="Body"/>
        <w:numPr>
          <w:ilvl w:val="1"/>
          <w:numId w:val="11"/>
        </w:numPr>
        <w:ind w:right="-142"/>
        <w:rPr>
          <w:rFonts w:ascii="Arial" w:hAnsi="Arial" w:cs="Arial"/>
          <w:b/>
          <w:bCs/>
          <w:color w:val="000000" w:themeColor="text1"/>
        </w:rPr>
      </w:pPr>
      <w:r w:rsidRPr="00440936">
        <w:rPr>
          <w:rFonts w:ascii="Arial" w:hAnsi="Arial" w:cs="Arial"/>
          <w:color w:val="000000" w:themeColor="text1"/>
        </w:rPr>
        <w:t>non-compliance with medication</w:t>
      </w:r>
    </w:p>
    <w:p w14:paraId="2BB39CB3" w14:textId="77777777" w:rsidR="008F007E" w:rsidRPr="00440936" w:rsidRDefault="008F007E" w:rsidP="00F93294">
      <w:pPr>
        <w:pStyle w:val="Body"/>
        <w:numPr>
          <w:ilvl w:val="1"/>
          <w:numId w:val="11"/>
        </w:numPr>
        <w:ind w:right="-142"/>
        <w:rPr>
          <w:rFonts w:ascii="Arial" w:hAnsi="Arial" w:cs="Arial"/>
          <w:b/>
          <w:bCs/>
          <w:color w:val="000000" w:themeColor="text1"/>
        </w:rPr>
      </w:pPr>
      <w:r w:rsidRPr="00440936">
        <w:rPr>
          <w:rFonts w:ascii="Arial" w:hAnsi="Arial" w:cs="Arial"/>
          <w:color w:val="000000" w:themeColor="text1"/>
        </w:rPr>
        <w:t xml:space="preserve">re-infection with a specific pathogen </w:t>
      </w:r>
      <w:proofErr w:type="gramStart"/>
      <w:r w:rsidRPr="00440936">
        <w:rPr>
          <w:rFonts w:ascii="Arial" w:hAnsi="Arial" w:cs="Arial"/>
          <w:color w:val="000000" w:themeColor="text1"/>
        </w:rPr>
        <w:t>e.g.</w:t>
      </w:r>
      <w:proofErr w:type="gramEnd"/>
      <w:r w:rsidRPr="00440936">
        <w:rPr>
          <w:rFonts w:ascii="Arial" w:hAnsi="Arial" w:cs="Arial"/>
          <w:color w:val="000000" w:themeColor="text1"/>
        </w:rPr>
        <w:t xml:space="preserve"> with chlamydia or M. genitalium from untreated sexual partner(s)</w:t>
      </w:r>
    </w:p>
    <w:p w14:paraId="17BAB2BD" w14:textId="77777777" w:rsidR="008F007E" w:rsidRPr="00440936" w:rsidRDefault="008F007E" w:rsidP="00F93294">
      <w:pPr>
        <w:pStyle w:val="Body"/>
        <w:numPr>
          <w:ilvl w:val="1"/>
          <w:numId w:val="11"/>
        </w:numPr>
        <w:ind w:right="-142"/>
        <w:rPr>
          <w:rFonts w:ascii="Arial" w:hAnsi="Arial" w:cs="Arial"/>
          <w:b/>
          <w:bCs/>
          <w:color w:val="000000" w:themeColor="text1"/>
        </w:rPr>
      </w:pPr>
      <w:r w:rsidRPr="00440936">
        <w:rPr>
          <w:rFonts w:ascii="Arial" w:hAnsi="Arial" w:cs="Arial"/>
          <w:i/>
          <w:iCs/>
          <w:color w:val="000000" w:themeColor="text1"/>
        </w:rPr>
        <w:t>M. genitalium</w:t>
      </w:r>
      <w:r w:rsidRPr="00440936">
        <w:rPr>
          <w:rFonts w:ascii="Arial" w:hAnsi="Arial" w:cs="Arial"/>
          <w:color w:val="000000" w:themeColor="text1"/>
        </w:rPr>
        <w:t xml:space="preserve"> resistant to doxycycline or azithromycin</w:t>
      </w:r>
    </w:p>
    <w:p w14:paraId="6039CC79" w14:textId="77777777" w:rsidR="008F007E" w:rsidRPr="00440936" w:rsidRDefault="008F007E" w:rsidP="00F93294">
      <w:pPr>
        <w:pStyle w:val="Body"/>
        <w:numPr>
          <w:ilvl w:val="1"/>
          <w:numId w:val="11"/>
        </w:numPr>
        <w:ind w:right="-142"/>
        <w:rPr>
          <w:rFonts w:ascii="Arial" w:hAnsi="Arial" w:cs="Arial"/>
          <w:b/>
          <w:bCs/>
          <w:color w:val="000000" w:themeColor="text1"/>
        </w:rPr>
      </w:pPr>
      <w:r w:rsidRPr="00440936">
        <w:rPr>
          <w:rFonts w:ascii="Arial" w:hAnsi="Arial" w:cs="Arial"/>
          <w:color w:val="000000" w:themeColor="text1"/>
        </w:rPr>
        <w:lastRenderedPageBreak/>
        <w:t>Testing for other less common causes of NGU: adenovirus, herpes and trichomonas</w:t>
      </w:r>
    </w:p>
    <w:p w14:paraId="6751C0F2" w14:textId="77777777" w:rsidR="008F007E" w:rsidRPr="00440936" w:rsidRDefault="008F007E" w:rsidP="00F93294">
      <w:pPr>
        <w:pStyle w:val="Body"/>
        <w:numPr>
          <w:ilvl w:val="0"/>
          <w:numId w:val="10"/>
        </w:numPr>
        <w:ind w:right="-142"/>
        <w:rPr>
          <w:rFonts w:ascii="Arial" w:hAnsi="Arial" w:cs="Arial"/>
          <w:b/>
          <w:bCs/>
          <w:color w:val="000000" w:themeColor="text1"/>
        </w:rPr>
      </w:pPr>
      <w:r w:rsidRPr="00440936">
        <w:rPr>
          <w:rFonts w:ascii="Arial" w:hAnsi="Arial" w:cs="Arial"/>
          <w:color w:val="000000" w:themeColor="text1"/>
        </w:rPr>
        <w:t>Men with persistent NGU who did not comply with the treatment regimen or who have been re-exposed to an untreated sex partner can be retreated with the same regimen.</w:t>
      </w:r>
    </w:p>
    <w:p w14:paraId="43C99296" w14:textId="77777777" w:rsidR="008F007E" w:rsidRPr="00440936" w:rsidRDefault="008F007E" w:rsidP="00F93294">
      <w:pPr>
        <w:pStyle w:val="Body"/>
        <w:numPr>
          <w:ilvl w:val="0"/>
          <w:numId w:val="10"/>
        </w:numPr>
        <w:ind w:right="-142"/>
        <w:rPr>
          <w:rFonts w:ascii="Arial" w:hAnsi="Arial" w:cs="Arial"/>
          <w:b/>
          <w:bCs/>
          <w:color w:val="000000" w:themeColor="text1"/>
        </w:rPr>
      </w:pPr>
      <w:r w:rsidRPr="00440936">
        <w:rPr>
          <w:rFonts w:ascii="Arial" w:hAnsi="Arial" w:cs="Arial"/>
          <w:color w:val="000000" w:themeColor="text1"/>
        </w:rPr>
        <w:t>In men who have persistent symptoms after treatment but without a confirmed pathogen or objective signs of urethritis, the value of extending the duration of antimicrobials has not been demonstrated.</w:t>
      </w:r>
    </w:p>
    <w:p w14:paraId="2F1E386A" w14:textId="77777777" w:rsidR="008F007E" w:rsidRPr="00440936" w:rsidRDefault="008F007E" w:rsidP="00F93294">
      <w:pPr>
        <w:pStyle w:val="Body"/>
        <w:numPr>
          <w:ilvl w:val="0"/>
          <w:numId w:val="10"/>
        </w:numPr>
        <w:ind w:right="-142"/>
        <w:rPr>
          <w:rFonts w:ascii="Arial" w:hAnsi="Arial" w:cs="Arial"/>
          <w:b/>
          <w:bCs/>
          <w:color w:val="000000" w:themeColor="text1"/>
        </w:rPr>
      </w:pPr>
      <w:r w:rsidRPr="00440936">
        <w:rPr>
          <w:rFonts w:ascii="Arial" w:hAnsi="Arial" w:cs="Arial"/>
          <w:color w:val="000000" w:themeColor="text1"/>
        </w:rPr>
        <w:t xml:space="preserve">Urologic examinations usually do not reveal a specific </w:t>
      </w:r>
      <w:proofErr w:type="spellStart"/>
      <w:r w:rsidRPr="00440936">
        <w:rPr>
          <w:rFonts w:ascii="Arial" w:hAnsi="Arial" w:cs="Arial"/>
          <w:color w:val="000000" w:themeColor="text1"/>
        </w:rPr>
        <w:t>aetiology</w:t>
      </w:r>
      <w:proofErr w:type="spellEnd"/>
      <w:r w:rsidRPr="00440936">
        <w:rPr>
          <w:rFonts w:ascii="Arial" w:hAnsi="Arial" w:cs="Arial"/>
          <w:color w:val="000000" w:themeColor="text1"/>
        </w:rPr>
        <w:t xml:space="preserve">. </w:t>
      </w:r>
    </w:p>
    <w:p w14:paraId="7853B2AD" w14:textId="2709696D" w:rsidR="008F007E" w:rsidRPr="00440936" w:rsidRDefault="008F007E" w:rsidP="00F93294">
      <w:pPr>
        <w:pStyle w:val="Body"/>
        <w:numPr>
          <w:ilvl w:val="0"/>
          <w:numId w:val="10"/>
        </w:numPr>
        <w:ind w:right="-142"/>
        <w:rPr>
          <w:rFonts w:ascii="Arial" w:hAnsi="Arial" w:cs="Arial"/>
          <w:b/>
          <w:bCs/>
          <w:color w:val="000000" w:themeColor="text1"/>
        </w:rPr>
      </w:pPr>
      <w:r w:rsidRPr="00440936">
        <w:rPr>
          <w:rFonts w:ascii="Arial" w:hAnsi="Arial" w:cs="Arial"/>
          <w:color w:val="000000" w:themeColor="text1"/>
        </w:rPr>
        <w:t>Underlying anxiety may be present and if present should be discussed.</w:t>
      </w:r>
    </w:p>
    <w:p w14:paraId="1038D261" w14:textId="77777777" w:rsidR="009631D2" w:rsidRPr="00440936" w:rsidRDefault="009631D2" w:rsidP="00F93294">
      <w:pPr>
        <w:pStyle w:val="Body"/>
        <w:ind w:right="-142"/>
        <w:rPr>
          <w:rFonts w:ascii="Arial" w:hAnsi="Arial" w:cs="Arial"/>
          <w:color w:val="000000" w:themeColor="text1"/>
        </w:rPr>
      </w:pPr>
    </w:p>
    <w:p w14:paraId="6EEB9699" w14:textId="49432A77" w:rsidR="009631D2" w:rsidRPr="00440936" w:rsidRDefault="008F007E" w:rsidP="00F93294">
      <w:pPr>
        <w:pStyle w:val="Heading2"/>
        <w:ind w:right="-142"/>
        <w:rPr>
          <w:rFonts w:ascii="Arial" w:hAnsi="Arial" w:cs="Arial"/>
          <w:color w:val="000000" w:themeColor="text1"/>
        </w:rPr>
      </w:pPr>
      <w:r w:rsidRPr="00440936">
        <w:rPr>
          <w:rFonts w:ascii="Arial" w:hAnsi="Arial" w:cs="Arial"/>
          <w:color w:val="000000" w:themeColor="text1"/>
        </w:rPr>
        <w:t>Sexual partners</w:t>
      </w:r>
    </w:p>
    <w:p w14:paraId="746BB707" w14:textId="77777777" w:rsidR="008F007E" w:rsidRPr="00440936" w:rsidRDefault="008F007E" w:rsidP="00F93294">
      <w:pPr>
        <w:pStyle w:val="Body"/>
        <w:numPr>
          <w:ilvl w:val="0"/>
          <w:numId w:val="12"/>
        </w:numPr>
        <w:ind w:right="-142"/>
        <w:rPr>
          <w:rFonts w:ascii="Arial" w:hAnsi="Arial" w:cs="Arial"/>
          <w:b/>
          <w:bCs/>
          <w:color w:val="000000" w:themeColor="text1"/>
        </w:rPr>
      </w:pPr>
      <w:r w:rsidRPr="00440936">
        <w:rPr>
          <w:rFonts w:ascii="Arial" w:hAnsi="Arial" w:cs="Arial"/>
          <w:color w:val="000000" w:themeColor="text1"/>
        </w:rPr>
        <w:t xml:space="preserve">Female partners of men with NGU should be recalled for assessment and STI testing (regardless of the STI results of the man), as these women may have an increased risk for pelvic inflammatory disease. Symptomatic female partners should be managed according to their symptoms, see relevant MSHC treatment guidelines. Asymptomatic female partners should be treated presumptively with </w:t>
      </w:r>
      <w:r w:rsidRPr="00440936">
        <w:rPr>
          <w:rFonts w:ascii="Arial" w:hAnsi="Arial" w:cs="Arial"/>
          <w:b/>
          <w:bCs/>
          <w:color w:val="000000" w:themeColor="text1"/>
        </w:rPr>
        <w:t>Doxycycline 100 mg twice daily for 7 days.</w:t>
      </w:r>
    </w:p>
    <w:p w14:paraId="0BC4E3C2" w14:textId="77777777" w:rsidR="00D95057" w:rsidRPr="00440936" w:rsidRDefault="009A32C7" w:rsidP="00F93294">
      <w:pPr>
        <w:ind w:right="-142"/>
        <w:rPr>
          <w:rFonts w:ascii="Arial" w:hAnsi="Arial" w:cs="Arial"/>
          <w:color w:val="000000" w:themeColor="text1"/>
        </w:rPr>
      </w:pPr>
    </w:p>
    <w:sectPr w:rsidR="00D95057" w:rsidRPr="00440936" w:rsidSect="00F93294">
      <w:headerReference w:type="default" r:id="rId8"/>
      <w:pgSz w:w="11900" w:h="16840"/>
      <w:pgMar w:top="1440" w:right="1173" w:bottom="1718" w:left="80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4126C2" w14:textId="77777777" w:rsidR="009A32C7" w:rsidRDefault="009A32C7">
      <w:r>
        <w:separator/>
      </w:r>
    </w:p>
  </w:endnote>
  <w:endnote w:type="continuationSeparator" w:id="0">
    <w:p w14:paraId="75CD66E9" w14:textId="77777777" w:rsidR="009A32C7" w:rsidRDefault="009A3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Helvetica Neue">
    <w:altName w:val="Helvetica Neue"/>
    <w:panose1 w:val="02000503000000020004"/>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 w:name="ArialMT">
    <w:altName w:val="Arial"/>
    <w:panose1 w:val="020B0604020202020204"/>
    <w:charset w:val="4D"/>
    <w:family w:val="auto"/>
    <w:pitch w:val="default"/>
    <w:sig w:usb0="00000003" w:usb1="00000000" w:usb2="00000000" w:usb3="00000000" w:csb0="00000001" w:csb1="00000000"/>
  </w:font>
  <w:font w:name="TimesNewRomanPSMT">
    <w:altName w:val="Times New Roman"/>
    <w:panose1 w:val="020B0604020202020204"/>
    <w:charset w:val="4D"/>
    <w:family w:val="auto"/>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208AB5" w14:textId="77777777" w:rsidR="009A32C7" w:rsidRDefault="009A32C7">
      <w:r>
        <w:separator/>
      </w:r>
    </w:p>
  </w:footnote>
  <w:footnote w:type="continuationSeparator" w:id="0">
    <w:p w14:paraId="565E3D54" w14:textId="77777777" w:rsidR="009A32C7" w:rsidRDefault="009A3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4FDB1" w14:textId="77777777" w:rsidR="00440936" w:rsidRPr="00F00500" w:rsidRDefault="00440936" w:rsidP="00440936">
    <w:pPr>
      <w:pStyle w:val="Header"/>
      <w:jc w:val="right"/>
      <w:rPr>
        <w:rFonts w:ascii="Arial" w:hAnsi="Arial" w:cs="Arial"/>
        <w:b/>
        <w:bCs/>
      </w:rPr>
    </w:pPr>
    <w:r>
      <w:rPr>
        <w:noProof/>
      </w:rPr>
      <w:drawing>
        <wp:anchor distT="0" distB="0" distL="114300" distR="114300" simplePos="0" relativeHeight="251659264" behindDoc="1" locked="0" layoutInCell="1" allowOverlap="1" wp14:anchorId="70D571D3" wp14:editId="477C9587">
          <wp:simplePos x="0" y="0"/>
          <wp:positionH relativeFrom="column">
            <wp:posOffset>-66675</wp:posOffset>
          </wp:positionH>
          <wp:positionV relativeFrom="paragraph">
            <wp:posOffset>-192405</wp:posOffset>
          </wp:positionV>
          <wp:extent cx="1981200" cy="630555"/>
          <wp:effectExtent l="0" t="0" r="0" b="0"/>
          <wp:wrapNone/>
          <wp:docPr id="1" name="Picture 1" descr="A picture containing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 picture containing logo&#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6305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0500">
      <w:rPr>
        <w:rFonts w:ascii="Arial" w:hAnsi="Arial" w:cs="Arial"/>
      </w:rPr>
      <w:t xml:space="preserve">Melbourne Sexual Health Centre </w:t>
    </w:r>
    <w:r w:rsidRPr="00F00500">
      <w:rPr>
        <w:rFonts w:ascii="Arial" w:hAnsi="Arial" w:cs="Arial"/>
        <w:b/>
        <w:bCs/>
      </w:rPr>
      <w:t>Treatment Guidelines</w:t>
    </w:r>
  </w:p>
  <w:p w14:paraId="370F1E87" w14:textId="77777777" w:rsidR="000F73BE" w:rsidRPr="00440936" w:rsidRDefault="009A32C7" w:rsidP="00440936">
    <w:pPr>
      <w:pStyle w:val="HeaderFoo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D46C32"/>
    <w:multiLevelType w:val="hybridMultilevel"/>
    <w:tmpl w:val="1EF4CD0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6A06AA"/>
    <w:multiLevelType w:val="hybridMultilevel"/>
    <w:tmpl w:val="C4EE9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6917E1"/>
    <w:multiLevelType w:val="hybridMultilevel"/>
    <w:tmpl w:val="931AFA12"/>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CAA5BFB"/>
    <w:multiLevelType w:val="hybridMultilevel"/>
    <w:tmpl w:val="D690D2A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D964347"/>
    <w:multiLevelType w:val="multilevel"/>
    <w:tmpl w:val="98766C0E"/>
    <w:lvl w:ilvl="0">
      <w:start w:val="1"/>
      <w:numFmt w:val="bullet"/>
      <w:lvlText w:val=""/>
      <w:lvlJc w:val="left"/>
      <w:pPr>
        <w:tabs>
          <w:tab w:val="num" w:pos="840"/>
        </w:tabs>
        <w:ind w:left="840" w:hanging="360"/>
      </w:pPr>
      <w:rPr>
        <w:rFonts w:ascii="Symbol" w:hAnsi="Symbol" w:hint="default"/>
        <w:sz w:val="20"/>
      </w:rPr>
    </w:lvl>
    <w:lvl w:ilvl="1" w:tentative="1">
      <w:start w:val="1"/>
      <w:numFmt w:val="bullet"/>
      <w:lvlText w:val="o"/>
      <w:lvlJc w:val="left"/>
      <w:pPr>
        <w:tabs>
          <w:tab w:val="num" w:pos="1560"/>
        </w:tabs>
        <w:ind w:left="1560" w:hanging="360"/>
      </w:pPr>
      <w:rPr>
        <w:rFonts w:ascii="Courier New" w:hAnsi="Courier New" w:hint="default"/>
        <w:sz w:val="20"/>
      </w:rPr>
    </w:lvl>
    <w:lvl w:ilvl="2" w:tentative="1">
      <w:start w:val="1"/>
      <w:numFmt w:val="bullet"/>
      <w:lvlText w:val=""/>
      <w:lvlJc w:val="left"/>
      <w:pPr>
        <w:tabs>
          <w:tab w:val="num" w:pos="2280"/>
        </w:tabs>
        <w:ind w:left="2280" w:hanging="360"/>
      </w:pPr>
      <w:rPr>
        <w:rFonts w:ascii="Wingdings" w:hAnsi="Wingdings" w:hint="default"/>
        <w:sz w:val="20"/>
      </w:rPr>
    </w:lvl>
    <w:lvl w:ilvl="3" w:tentative="1">
      <w:start w:val="1"/>
      <w:numFmt w:val="bullet"/>
      <w:lvlText w:val=""/>
      <w:lvlJc w:val="left"/>
      <w:pPr>
        <w:tabs>
          <w:tab w:val="num" w:pos="3000"/>
        </w:tabs>
        <w:ind w:left="3000" w:hanging="360"/>
      </w:pPr>
      <w:rPr>
        <w:rFonts w:ascii="Wingdings" w:hAnsi="Wingdings" w:hint="default"/>
        <w:sz w:val="20"/>
      </w:rPr>
    </w:lvl>
    <w:lvl w:ilvl="4" w:tentative="1">
      <w:start w:val="1"/>
      <w:numFmt w:val="bullet"/>
      <w:lvlText w:val=""/>
      <w:lvlJc w:val="left"/>
      <w:pPr>
        <w:tabs>
          <w:tab w:val="num" w:pos="3720"/>
        </w:tabs>
        <w:ind w:left="3720" w:hanging="360"/>
      </w:pPr>
      <w:rPr>
        <w:rFonts w:ascii="Wingdings" w:hAnsi="Wingdings" w:hint="default"/>
        <w:sz w:val="20"/>
      </w:rPr>
    </w:lvl>
    <w:lvl w:ilvl="5" w:tentative="1">
      <w:start w:val="1"/>
      <w:numFmt w:val="bullet"/>
      <w:lvlText w:val=""/>
      <w:lvlJc w:val="left"/>
      <w:pPr>
        <w:tabs>
          <w:tab w:val="num" w:pos="4440"/>
        </w:tabs>
        <w:ind w:left="4440" w:hanging="360"/>
      </w:pPr>
      <w:rPr>
        <w:rFonts w:ascii="Wingdings" w:hAnsi="Wingdings" w:hint="default"/>
        <w:sz w:val="20"/>
      </w:rPr>
    </w:lvl>
    <w:lvl w:ilvl="6" w:tentative="1">
      <w:start w:val="1"/>
      <w:numFmt w:val="bullet"/>
      <w:lvlText w:val=""/>
      <w:lvlJc w:val="left"/>
      <w:pPr>
        <w:tabs>
          <w:tab w:val="num" w:pos="5160"/>
        </w:tabs>
        <w:ind w:left="5160" w:hanging="360"/>
      </w:pPr>
      <w:rPr>
        <w:rFonts w:ascii="Wingdings" w:hAnsi="Wingdings" w:hint="default"/>
        <w:sz w:val="20"/>
      </w:rPr>
    </w:lvl>
    <w:lvl w:ilvl="7" w:tentative="1">
      <w:start w:val="1"/>
      <w:numFmt w:val="bullet"/>
      <w:lvlText w:val=""/>
      <w:lvlJc w:val="left"/>
      <w:pPr>
        <w:tabs>
          <w:tab w:val="num" w:pos="5880"/>
        </w:tabs>
        <w:ind w:left="5880" w:hanging="360"/>
      </w:pPr>
      <w:rPr>
        <w:rFonts w:ascii="Wingdings" w:hAnsi="Wingdings" w:hint="default"/>
        <w:sz w:val="20"/>
      </w:rPr>
    </w:lvl>
    <w:lvl w:ilvl="8" w:tentative="1">
      <w:start w:val="1"/>
      <w:numFmt w:val="bullet"/>
      <w:lvlText w:val=""/>
      <w:lvlJc w:val="left"/>
      <w:pPr>
        <w:tabs>
          <w:tab w:val="num" w:pos="6600"/>
        </w:tabs>
        <w:ind w:left="6600" w:hanging="360"/>
      </w:pPr>
      <w:rPr>
        <w:rFonts w:ascii="Wingdings" w:hAnsi="Wingdings" w:hint="default"/>
        <w:sz w:val="20"/>
      </w:rPr>
    </w:lvl>
  </w:abstractNum>
  <w:abstractNum w:abstractNumId="5" w15:restartNumberingAfterBreak="0">
    <w:nsid w:val="26362A22"/>
    <w:multiLevelType w:val="hybridMultilevel"/>
    <w:tmpl w:val="3B547D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8CE20C2"/>
    <w:multiLevelType w:val="hybridMultilevel"/>
    <w:tmpl w:val="C86AFE1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F238EA"/>
    <w:multiLevelType w:val="hybridMultilevel"/>
    <w:tmpl w:val="6C186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B5F08D8"/>
    <w:multiLevelType w:val="hybridMultilevel"/>
    <w:tmpl w:val="D332DAF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68AE33D5"/>
    <w:multiLevelType w:val="hybridMultilevel"/>
    <w:tmpl w:val="1360CB24"/>
    <w:lvl w:ilvl="0" w:tplc="029A20D4">
      <w:numFmt w:val="bullet"/>
      <w:lvlText w:val="-"/>
      <w:lvlJc w:val="left"/>
      <w:pPr>
        <w:ind w:left="720" w:hanging="360"/>
      </w:pPr>
      <w:rPr>
        <w:rFonts w:ascii="Times New Roman" w:eastAsia="Arial Unicode MS"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0D761C"/>
    <w:multiLevelType w:val="hybridMultilevel"/>
    <w:tmpl w:val="DCE6198A"/>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7F4F3BC1"/>
    <w:multiLevelType w:val="hybridMultilevel"/>
    <w:tmpl w:val="33686B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9"/>
  </w:num>
  <w:num w:numId="4">
    <w:abstractNumId w:val="4"/>
  </w:num>
  <w:num w:numId="5">
    <w:abstractNumId w:val="11"/>
  </w:num>
  <w:num w:numId="6">
    <w:abstractNumId w:val="0"/>
  </w:num>
  <w:num w:numId="7">
    <w:abstractNumId w:val="6"/>
  </w:num>
  <w:num w:numId="8">
    <w:abstractNumId w:val="3"/>
  </w:num>
  <w:num w:numId="9">
    <w:abstractNumId w:val="10"/>
  </w:num>
  <w:num w:numId="10">
    <w:abstractNumId w:val="8"/>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D2"/>
    <w:rsid w:val="0000031A"/>
    <w:rsid w:val="00024292"/>
    <w:rsid w:val="0002553D"/>
    <w:rsid w:val="000329C6"/>
    <w:rsid w:val="00042738"/>
    <w:rsid w:val="00044AF1"/>
    <w:rsid w:val="00054DC9"/>
    <w:rsid w:val="00066115"/>
    <w:rsid w:val="000676F4"/>
    <w:rsid w:val="00071FA0"/>
    <w:rsid w:val="0007682F"/>
    <w:rsid w:val="00083080"/>
    <w:rsid w:val="00083CD8"/>
    <w:rsid w:val="000875B4"/>
    <w:rsid w:val="00090319"/>
    <w:rsid w:val="0009336E"/>
    <w:rsid w:val="0009660F"/>
    <w:rsid w:val="000A1500"/>
    <w:rsid w:val="000B15CF"/>
    <w:rsid w:val="000B555C"/>
    <w:rsid w:val="000B714B"/>
    <w:rsid w:val="000B7552"/>
    <w:rsid w:val="000C0BDE"/>
    <w:rsid w:val="000C23A3"/>
    <w:rsid w:val="000D3F77"/>
    <w:rsid w:val="000E3F5F"/>
    <w:rsid w:val="001034D2"/>
    <w:rsid w:val="00110304"/>
    <w:rsid w:val="001104B0"/>
    <w:rsid w:val="00116FBB"/>
    <w:rsid w:val="00117DD9"/>
    <w:rsid w:val="00120398"/>
    <w:rsid w:val="001207D9"/>
    <w:rsid w:val="00126177"/>
    <w:rsid w:val="001428E2"/>
    <w:rsid w:val="00144AEC"/>
    <w:rsid w:val="00146D09"/>
    <w:rsid w:val="001513B6"/>
    <w:rsid w:val="00151BAD"/>
    <w:rsid w:val="00174866"/>
    <w:rsid w:val="00174E86"/>
    <w:rsid w:val="0018033D"/>
    <w:rsid w:val="00180D5D"/>
    <w:rsid w:val="00181FFE"/>
    <w:rsid w:val="00185106"/>
    <w:rsid w:val="00187480"/>
    <w:rsid w:val="00191905"/>
    <w:rsid w:val="00196753"/>
    <w:rsid w:val="001A4DDA"/>
    <w:rsid w:val="001A618C"/>
    <w:rsid w:val="001C0F65"/>
    <w:rsid w:val="001D2030"/>
    <w:rsid w:val="001D25F3"/>
    <w:rsid w:val="001D3C3F"/>
    <w:rsid w:val="001D67C9"/>
    <w:rsid w:val="001E24FD"/>
    <w:rsid w:val="001E4DA1"/>
    <w:rsid w:val="001F66F2"/>
    <w:rsid w:val="002004D1"/>
    <w:rsid w:val="00201151"/>
    <w:rsid w:val="00203867"/>
    <w:rsid w:val="00210591"/>
    <w:rsid w:val="00210B18"/>
    <w:rsid w:val="00223368"/>
    <w:rsid w:val="002241D7"/>
    <w:rsid w:val="002377A8"/>
    <w:rsid w:val="00237F2D"/>
    <w:rsid w:val="00241CBD"/>
    <w:rsid w:val="00257161"/>
    <w:rsid w:val="00273454"/>
    <w:rsid w:val="00285271"/>
    <w:rsid w:val="00290B04"/>
    <w:rsid w:val="002935F5"/>
    <w:rsid w:val="002A0D72"/>
    <w:rsid w:val="002A20BD"/>
    <w:rsid w:val="002A3F74"/>
    <w:rsid w:val="002A609E"/>
    <w:rsid w:val="002B012F"/>
    <w:rsid w:val="002B038B"/>
    <w:rsid w:val="002B4AE7"/>
    <w:rsid w:val="002B6E5D"/>
    <w:rsid w:val="002C1650"/>
    <w:rsid w:val="002C2714"/>
    <w:rsid w:val="002D1D2D"/>
    <w:rsid w:val="002D56EC"/>
    <w:rsid w:val="002F04E7"/>
    <w:rsid w:val="002F12EB"/>
    <w:rsid w:val="002F273D"/>
    <w:rsid w:val="002F2A35"/>
    <w:rsid w:val="002F2AAB"/>
    <w:rsid w:val="002F2D30"/>
    <w:rsid w:val="002F4275"/>
    <w:rsid w:val="002F7DC7"/>
    <w:rsid w:val="00304173"/>
    <w:rsid w:val="00307073"/>
    <w:rsid w:val="0031280E"/>
    <w:rsid w:val="003136B3"/>
    <w:rsid w:val="003147A0"/>
    <w:rsid w:val="00317F0F"/>
    <w:rsid w:val="003204E9"/>
    <w:rsid w:val="0032177D"/>
    <w:rsid w:val="00321912"/>
    <w:rsid w:val="0032781F"/>
    <w:rsid w:val="00336BEC"/>
    <w:rsid w:val="00354800"/>
    <w:rsid w:val="00354912"/>
    <w:rsid w:val="00357A8A"/>
    <w:rsid w:val="003615B6"/>
    <w:rsid w:val="00364A0C"/>
    <w:rsid w:val="003908DF"/>
    <w:rsid w:val="00390F8B"/>
    <w:rsid w:val="00391854"/>
    <w:rsid w:val="003A0F15"/>
    <w:rsid w:val="003A1259"/>
    <w:rsid w:val="003A3B75"/>
    <w:rsid w:val="003A4E2A"/>
    <w:rsid w:val="003B34C7"/>
    <w:rsid w:val="003B72E1"/>
    <w:rsid w:val="003C5B33"/>
    <w:rsid w:val="003C7BB4"/>
    <w:rsid w:val="003C7E30"/>
    <w:rsid w:val="003D5ED4"/>
    <w:rsid w:val="003D660C"/>
    <w:rsid w:val="003E341C"/>
    <w:rsid w:val="003E436D"/>
    <w:rsid w:val="003E4F2E"/>
    <w:rsid w:val="003E6202"/>
    <w:rsid w:val="003F0045"/>
    <w:rsid w:val="004000E1"/>
    <w:rsid w:val="004016D9"/>
    <w:rsid w:val="004026D6"/>
    <w:rsid w:val="00402FEC"/>
    <w:rsid w:val="00410C05"/>
    <w:rsid w:val="004132B7"/>
    <w:rsid w:val="0041572A"/>
    <w:rsid w:val="00417B0E"/>
    <w:rsid w:val="004250D1"/>
    <w:rsid w:val="004250F2"/>
    <w:rsid w:val="00431D6C"/>
    <w:rsid w:val="00440936"/>
    <w:rsid w:val="00441B92"/>
    <w:rsid w:val="00442D3B"/>
    <w:rsid w:val="00444942"/>
    <w:rsid w:val="004500DB"/>
    <w:rsid w:val="00457B89"/>
    <w:rsid w:val="00460702"/>
    <w:rsid w:val="00462247"/>
    <w:rsid w:val="00472E5F"/>
    <w:rsid w:val="00475F0B"/>
    <w:rsid w:val="00483C2F"/>
    <w:rsid w:val="00495962"/>
    <w:rsid w:val="004A3001"/>
    <w:rsid w:val="004C02BE"/>
    <w:rsid w:val="004C0D77"/>
    <w:rsid w:val="004C451F"/>
    <w:rsid w:val="004C79DC"/>
    <w:rsid w:val="004C7BE6"/>
    <w:rsid w:val="004D7E7B"/>
    <w:rsid w:val="004E542C"/>
    <w:rsid w:val="004E595B"/>
    <w:rsid w:val="004E7526"/>
    <w:rsid w:val="004F7CAC"/>
    <w:rsid w:val="0051472F"/>
    <w:rsid w:val="00521818"/>
    <w:rsid w:val="00521CBA"/>
    <w:rsid w:val="00533322"/>
    <w:rsid w:val="005539BC"/>
    <w:rsid w:val="005544F1"/>
    <w:rsid w:val="00566C33"/>
    <w:rsid w:val="0057131C"/>
    <w:rsid w:val="005753E4"/>
    <w:rsid w:val="005864E8"/>
    <w:rsid w:val="00587A71"/>
    <w:rsid w:val="005913E0"/>
    <w:rsid w:val="0059192A"/>
    <w:rsid w:val="00593F37"/>
    <w:rsid w:val="005A3431"/>
    <w:rsid w:val="005B0567"/>
    <w:rsid w:val="005B1071"/>
    <w:rsid w:val="005B1FC1"/>
    <w:rsid w:val="005C022B"/>
    <w:rsid w:val="005C093D"/>
    <w:rsid w:val="005C69A5"/>
    <w:rsid w:val="005D3610"/>
    <w:rsid w:val="005D4933"/>
    <w:rsid w:val="005E0E9E"/>
    <w:rsid w:val="005E7F33"/>
    <w:rsid w:val="005F7F03"/>
    <w:rsid w:val="006066AC"/>
    <w:rsid w:val="00611321"/>
    <w:rsid w:val="006113C2"/>
    <w:rsid w:val="00613209"/>
    <w:rsid w:val="006146E7"/>
    <w:rsid w:val="00616910"/>
    <w:rsid w:val="00616941"/>
    <w:rsid w:val="00621452"/>
    <w:rsid w:val="00624E5B"/>
    <w:rsid w:val="0063437D"/>
    <w:rsid w:val="006435E4"/>
    <w:rsid w:val="00655E05"/>
    <w:rsid w:val="0066297C"/>
    <w:rsid w:val="00662ECD"/>
    <w:rsid w:val="00664E23"/>
    <w:rsid w:val="0066513F"/>
    <w:rsid w:val="00673B41"/>
    <w:rsid w:val="00675040"/>
    <w:rsid w:val="00692D28"/>
    <w:rsid w:val="006B6052"/>
    <w:rsid w:val="006B76F1"/>
    <w:rsid w:val="006C14C6"/>
    <w:rsid w:val="006D2C1A"/>
    <w:rsid w:val="006D5D2C"/>
    <w:rsid w:val="006E0AC6"/>
    <w:rsid w:val="006F51DB"/>
    <w:rsid w:val="006F58C0"/>
    <w:rsid w:val="00706FB7"/>
    <w:rsid w:val="007078F0"/>
    <w:rsid w:val="007300FC"/>
    <w:rsid w:val="00732D1C"/>
    <w:rsid w:val="0073559C"/>
    <w:rsid w:val="00735868"/>
    <w:rsid w:val="00742D61"/>
    <w:rsid w:val="0075020B"/>
    <w:rsid w:val="00751091"/>
    <w:rsid w:val="00751462"/>
    <w:rsid w:val="0075645E"/>
    <w:rsid w:val="007570B9"/>
    <w:rsid w:val="007640E8"/>
    <w:rsid w:val="00764A43"/>
    <w:rsid w:val="0076683C"/>
    <w:rsid w:val="007677F6"/>
    <w:rsid w:val="00773135"/>
    <w:rsid w:val="00776560"/>
    <w:rsid w:val="00780C12"/>
    <w:rsid w:val="00785D1D"/>
    <w:rsid w:val="00787BF8"/>
    <w:rsid w:val="00787F11"/>
    <w:rsid w:val="007961A8"/>
    <w:rsid w:val="007A1D25"/>
    <w:rsid w:val="007A6DF6"/>
    <w:rsid w:val="007B3013"/>
    <w:rsid w:val="007B4882"/>
    <w:rsid w:val="007C3644"/>
    <w:rsid w:val="007D035D"/>
    <w:rsid w:val="007D373B"/>
    <w:rsid w:val="007D5036"/>
    <w:rsid w:val="007D657B"/>
    <w:rsid w:val="007E13E3"/>
    <w:rsid w:val="007F2583"/>
    <w:rsid w:val="007F713D"/>
    <w:rsid w:val="00801947"/>
    <w:rsid w:val="008023D6"/>
    <w:rsid w:val="008057A7"/>
    <w:rsid w:val="008067D4"/>
    <w:rsid w:val="00822DFF"/>
    <w:rsid w:val="00825629"/>
    <w:rsid w:val="008261A0"/>
    <w:rsid w:val="00831CCC"/>
    <w:rsid w:val="00832267"/>
    <w:rsid w:val="008426B4"/>
    <w:rsid w:val="00843EB0"/>
    <w:rsid w:val="008447B0"/>
    <w:rsid w:val="00854B85"/>
    <w:rsid w:val="00857910"/>
    <w:rsid w:val="00885DCA"/>
    <w:rsid w:val="00886C5B"/>
    <w:rsid w:val="00893037"/>
    <w:rsid w:val="008960C5"/>
    <w:rsid w:val="00897343"/>
    <w:rsid w:val="008979AE"/>
    <w:rsid w:val="008A55AD"/>
    <w:rsid w:val="008B4BD3"/>
    <w:rsid w:val="008B5AF2"/>
    <w:rsid w:val="008C3AE4"/>
    <w:rsid w:val="008C7503"/>
    <w:rsid w:val="008D0B73"/>
    <w:rsid w:val="008D1DD6"/>
    <w:rsid w:val="008D1E50"/>
    <w:rsid w:val="008D3C44"/>
    <w:rsid w:val="008D4627"/>
    <w:rsid w:val="008D4F39"/>
    <w:rsid w:val="008D6120"/>
    <w:rsid w:val="008D6A4A"/>
    <w:rsid w:val="008D7AAB"/>
    <w:rsid w:val="008E50D5"/>
    <w:rsid w:val="008F007E"/>
    <w:rsid w:val="008F5474"/>
    <w:rsid w:val="00901A20"/>
    <w:rsid w:val="00906C24"/>
    <w:rsid w:val="00907E2E"/>
    <w:rsid w:val="009113F3"/>
    <w:rsid w:val="00914436"/>
    <w:rsid w:val="009214DA"/>
    <w:rsid w:val="009245DD"/>
    <w:rsid w:val="009312DC"/>
    <w:rsid w:val="00944194"/>
    <w:rsid w:val="00951FDB"/>
    <w:rsid w:val="00952C9C"/>
    <w:rsid w:val="00954FEF"/>
    <w:rsid w:val="009551FA"/>
    <w:rsid w:val="00955461"/>
    <w:rsid w:val="009631D2"/>
    <w:rsid w:val="009704F5"/>
    <w:rsid w:val="00971901"/>
    <w:rsid w:val="00975519"/>
    <w:rsid w:val="009766A5"/>
    <w:rsid w:val="00984622"/>
    <w:rsid w:val="00984957"/>
    <w:rsid w:val="00985FC7"/>
    <w:rsid w:val="00992A77"/>
    <w:rsid w:val="00992C6B"/>
    <w:rsid w:val="0099514A"/>
    <w:rsid w:val="00997BF9"/>
    <w:rsid w:val="009A2DF7"/>
    <w:rsid w:val="009A32C7"/>
    <w:rsid w:val="009A78D8"/>
    <w:rsid w:val="009A7CF5"/>
    <w:rsid w:val="009B049C"/>
    <w:rsid w:val="009B39AA"/>
    <w:rsid w:val="009B722D"/>
    <w:rsid w:val="009F284E"/>
    <w:rsid w:val="00A04722"/>
    <w:rsid w:val="00A0790D"/>
    <w:rsid w:val="00A12E63"/>
    <w:rsid w:val="00A25D99"/>
    <w:rsid w:val="00A32BB6"/>
    <w:rsid w:val="00A32C31"/>
    <w:rsid w:val="00A351FE"/>
    <w:rsid w:val="00A4058A"/>
    <w:rsid w:val="00A40F4A"/>
    <w:rsid w:val="00A52B60"/>
    <w:rsid w:val="00A6044E"/>
    <w:rsid w:val="00A77A48"/>
    <w:rsid w:val="00A8541B"/>
    <w:rsid w:val="00A85DC9"/>
    <w:rsid w:val="00A912E2"/>
    <w:rsid w:val="00A96EF4"/>
    <w:rsid w:val="00AA2A25"/>
    <w:rsid w:val="00AB095A"/>
    <w:rsid w:val="00AB7808"/>
    <w:rsid w:val="00AC484D"/>
    <w:rsid w:val="00AD4107"/>
    <w:rsid w:val="00AD4A7C"/>
    <w:rsid w:val="00AE0870"/>
    <w:rsid w:val="00AE0E10"/>
    <w:rsid w:val="00AE59C5"/>
    <w:rsid w:val="00AF11C8"/>
    <w:rsid w:val="00AF72E3"/>
    <w:rsid w:val="00B06A53"/>
    <w:rsid w:val="00B07EA3"/>
    <w:rsid w:val="00B17778"/>
    <w:rsid w:val="00B23110"/>
    <w:rsid w:val="00B23839"/>
    <w:rsid w:val="00B2682F"/>
    <w:rsid w:val="00B27B5B"/>
    <w:rsid w:val="00B33637"/>
    <w:rsid w:val="00B36832"/>
    <w:rsid w:val="00B43AD2"/>
    <w:rsid w:val="00B43EB7"/>
    <w:rsid w:val="00B5096D"/>
    <w:rsid w:val="00B606CF"/>
    <w:rsid w:val="00B83B30"/>
    <w:rsid w:val="00B84E57"/>
    <w:rsid w:val="00B86A4F"/>
    <w:rsid w:val="00B92424"/>
    <w:rsid w:val="00B92AAD"/>
    <w:rsid w:val="00B9526F"/>
    <w:rsid w:val="00B96C1A"/>
    <w:rsid w:val="00B971DE"/>
    <w:rsid w:val="00B97491"/>
    <w:rsid w:val="00B97C0B"/>
    <w:rsid w:val="00BA3E5F"/>
    <w:rsid w:val="00BA6411"/>
    <w:rsid w:val="00BB0C93"/>
    <w:rsid w:val="00BB757C"/>
    <w:rsid w:val="00BC0178"/>
    <w:rsid w:val="00BC231A"/>
    <w:rsid w:val="00BC334C"/>
    <w:rsid w:val="00BC4015"/>
    <w:rsid w:val="00BD0B5A"/>
    <w:rsid w:val="00BD2BA2"/>
    <w:rsid w:val="00BD6F69"/>
    <w:rsid w:val="00BE0603"/>
    <w:rsid w:val="00BE180B"/>
    <w:rsid w:val="00BE2F78"/>
    <w:rsid w:val="00BE3A34"/>
    <w:rsid w:val="00BE52EC"/>
    <w:rsid w:val="00BF7DE1"/>
    <w:rsid w:val="00C02BD1"/>
    <w:rsid w:val="00C036DC"/>
    <w:rsid w:val="00C04550"/>
    <w:rsid w:val="00C111CE"/>
    <w:rsid w:val="00C14749"/>
    <w:rsid w:val="00C247BD"/>
    <w:rsid w:val="00C31EE0"/>
    <w:rsid w:val="00C379CD"/>
    <w:rsid w:val="00C46EDD"/>
    <w:rsid w:val="00C63D3D"/>
    <w:rsid w:val="00C718E2"/>
    <w:rsid w:val="00C7284F"/>
    <w:rsid w:val="00C74B25"/>
    <w:rsid w:val="00C763E1"/>
    <w:rsid w:val="00C7662C"/>
    <w:rsid w:val="00C80418"/>
    <w:rsid w:val="00C80B58"/>
    <w:rsid w:val="00C85D0B"/>
    <w:rsid w:val="00C86A17"/>
    <w:rsid w:val="00C94769"/>
    <w:rsid w:val="00C96BEE"/>
    <w:rsid w:val="00C96FBE"/>
    <w:rsid w:val="00CA081F"/>
    <w:rsid w:val="00CA09A4"/>
    <w:rsid w:val="00CA46B4"/>
    <w:rsid w:val="00CA5845"/>
    <w:rsid w:val="00CA6E7D"/>
    <w:rsid w:val="00CB1C55"/>
    <w:rsid w:val="00CB3C5D"/>
    <w:rsid w:val="00CB6CFA"/>
    <w:rsid w:val="00CC143D"/>
    <w:rsid w:val="00CC4B27"/>
    <w:rsid w:val="00CC59D9"/>
    <w:rsid w:val="00CD08FB"/>
    <w:rsid w:val="00CD4D73"/>
    <w:rsid w:val="00CE20F6"/>
    <w:rsid w:val="00CE25BC"/>
    <w:rsid w:val="00CE61CE"/>
    <w:rsid w:val="00CF76CA"/>
    <w:rsid w:val="00D03003"/>
    <w:rsid w:val="00D04A4E"/>
    <w:rsid w:val="00D10FF7"/>
    <w:rsid w:val="00D11FB6"/>
    <w:rsid w:val="00D13627"/>
    <w:rsid w:val="00D15B52"/>
    <w:rsid w:val="00D21AB6"/>
    <w:rsid w:val="00D2382F"/>
    <w:rsid w:val="00D26CF1"/>
    <w:rsid w:val="00D279C7"/>
    <w:rsid w:val="00D36BB0"/>
    <w:rsid w:val="00D414DC"/>
    <w:rsid w:val="00D4537C"/>
    <w:rsid w:val="00D509FB"/>
    <w:rsid w:val="00D5464D"/>
    <w:rsid w:val="00D733CF"/>
    <w:rsid w:val="00D73404"/>
    <w:rsid w:val="00D76022"/>
    <w:rsid w:val="00D830FF"/>
    <w:rsid w:val="00D85263"/>
    <w:rsid w:val="00D85880"/>
    <w:rsid w:val="00D86767"/>
    <w:rsid w:val="00D91C09"/>
    <w:rsid w:val="00D92DE4"/>
    <w:rsid w:val="00D94BEB"/>
    <w:rsid w:val="00DA4FC9"/>
    <w:rsid w:val="00DA5D73"/>
    <w:rsid w:val="00DA6846"/>
    <w:rsid w:val="00DA6AE2"/>
    <w:rsid w:val="00DA72A8"/>
    <w:rsid w:val="00DC14FC"/>
    <w:rsid w:val="00DC5DFD"/>
    <w:rsid w:val="00DD1890"/>
    <w:rsid w:val="00DD7377"/>
    <w:rsid w:val="00DF3032"/>
    <w:rsid w:val="00DF3E8B"/>
    <w:rsid w:val="00DF7F6E"/>
    <w:rsid w:val="00E02BA7"/>
    <w:rsid w:val="00E119DA"/>
    <w:rsid w:val="00E1661D"/>
    <w:rsid w:val="00E236B4"/>
    <w:rsid w:val="00E34B9A"/>
    <w:rsid w:val="00E369D5"/>
    <w:rsid w:val="00E37963"/>
    <w:rsid w:val="00E472A6"/>
    <w:rsid w:val="00E5173A"/>
    <w:rsid w:val="00E522A2"/>
    <w:rsid w:val="00E53179"/>
    <w:rsid w:val="00E5606F"/>
    <w:rsid w:val="00E5752F"/>
    <w:rsid w:val="00E632AB"/>
    <w:rsid w:val="00E704A9"/>
    <w:rsid w:val="00E73815"/>
    <w:rsid w:val="00E77F67"/>
    <w:rsid w:val="00E82C3C"/>
    <w:rsid w:val="00E84104"/>
    <w:rsid w:val="00E8504B"/>
    <w:rsid w:val="00E8679A"/>
    <w:rsid w:val="00E86F14"/>
    <w:rsid w:val="00E90F6F"/>
    <w:rsid w:val="00EA4120"/>
    <w:rsid w:val="00EB0BAF"/>
    <w:rsid w:val="00EB1EC7"/>
    <w:rsid w:val="00EB2D73"/>
    <w:rsid w:val="00EB4F5E"/>
    <w:rsid w:val="00EC065C"/>
    <w:rsid w:val="00EC236D"/>
    <w:rsid w:val="00EC484B"/>
    <w:rsid w:val="00EC59D9"/>
    <w:rsid w:val="00EC6740"/>
    <w:rsid w:val="00EC6FAE"/>
    <w:rsid w:val="00ED2973"/>
    <w:rsid w:val="00EE60ED"/>
    <w:rsid w:val="00EF5081"/>
    <w:rsid w:val="00EF6579"/>
    <w:rsid w:val="00EF71EE"/>
    <w:rsid w:val="00F01A22"/>
    <w:rsid w:val="00F01BC2"/>
    <w:rsid w:val="00F04E78"/>
    <w:rsid w:val="00F14C22"/>
    <w:rsid w:val="00F2005B"/>
    <w:rsid w:val="00F27219"/>
    <w:rsid w:val="00F27732"/>
    <w:rsid w:val="00F32393"/>
    <w:rsid w:val="00F40CDF"/>
    <w:rsid w:val="00F41DC7"/>
    <w:rsid w:val="00F43026"/>
    <w:rsid w:val="00F443F1"/>
    <w:rsid w:val="00F5183A"/>
    <w:rsid w:val="00F577DE"/>
    <w:rsid w:val="00F60F7A"/>
    <w:rsid w:val="00F63A05"/>
    <w:rsid w:val="00F82651"/>
    <w:rsid w:val="00F93294"/>
    <w:rsid w:val="00FB2B4A"/>
    <w:rsid w:val="00FC180F"/>
    <w:rsid w:val="00FC599E"/>
    <w:rsid w:val="00FC5E0D"/>
    <w:rsid w:val="00FC7DF7"/>
    <w:rsid w:val="00FD1E1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34D77"/>
  <w14:defaultImageDpi w14:val="32767"/>
  <w15:chartTrackingRefBased/>
  <w15:docId w15:val="{BF055249-68E2-6542-B318-EF2BE94F7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631D2"/>
    <w:pPr>
      <w:pBdr>
        <w:top w:val="nil"/>
        <w:left w:val="nil"/>
        <w:bottom w:val="nil"/>
        <w:right w:val="nil"/>
        <w:between w:val="nil"/>
        <w:bar w:val="nil"/>
      </w:pBdr>
    </w:pPr>
    <w:rPr>
      <w:rFonts w:ascii="Times New Roman" w:eastAsia="Arial Unicode MS" w:hAnsi="Times New Roman" w:cs="Times New Roman"/>
      <w:bdr w:val="nil"/>
      <w:lang w:val="en-US" w:eastAsia="en-US"/>
    </w:rPr>
  </w:style>
  <w:style w:type="paragraph" w:styleId="Heading1">
    <w:name w:val="heading 1"/>
    <w:basedOn w:val="Normal"/>
    <w:next w:val="Normal"/>
    <w:link w:val="Heading1Char"/>
    <w:uiPriority w:val="9"/>
    <w:qFormat/>
    <w:rsid w:val="009631D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631D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3AE4"/>
    <w:rPr>
      <w:sz w:val="18"/>
      <w:szCs w:val="18"/>
    </w:rPr>
  </w:style>
  <w:style w:type="character" w:customStyle="1" w:styleId="BalloonTextChar">
    <w:name w:val="Balloon Text Char"/>
    <w:basedOn w:val="DefaultParagraphFont"/>
    <w:link w:val="BalloonText"/>
    <w:uiPriority w:val="99"/>
    <w:semiHidden/>
    <w:rsid w:val="008C3AE4"/>
    <w:rPr>
      <w:rFonts w:ascii="Times New Roman" w:hAnsi="Times New Roman" w:cs="Times New Roman"/>
      <w:sz w:val="18"/>
      <w:szCs w:val="18"/>
    </w:rPr>
  </w:style>
  <w:style w:type="character" w:customStyle="1" w:styleId="Heading1Char">
    <w:name w:val="Heading 1 Char"/>
    <w:basedOn w:val="DefaultParagraphFont"/>
    <w:link w:val="Heading1"/>
    <w:uiPriority w:val="9"/>
    <w:rsid w:val="009631D2"/>
    <w:rPr>
      <w:rFonts w:asciiTheme="majorHAnsi" w:eastAsiaTheme="majorEastAsia" w:hAnsiTheme="majorHAnsi" w:cstheme="majorBidi"/>
      <w:color w:val="2F5496" w:themeColor="accent1" w:themeShade="BF"/>
      <w:sz w:val="32"/>
      <w:szCs w:val="32"/>
      <w:bdr w:val="nil"/>
      <w:lang w:val="en-US" w:eastAsia="en-US"/>
    </w:rPr>
  </w:style>
  <w:style w:type="character" w:customStyle="1" w:styleId="Heading2Char">
    <w:name w:val="Heading 2 Char"/>
    <w:basedOn w:val="DefaultParagraphFont"/>
    <w:link w:val="Heading2"/>
    <w:uiPriority w:val="9"/>
    <w:rsid w:val="009631D2"/>
    <w:rPr>
      <w:rFonts w:asciiTheme="majorHAnsi" w:eastAsiaTheme="majorEastAsia" w:hAnsiTheme="majorHAnsi" w:cstheme="majorBidi"/>
      <w:color w:val="2F5496" w:themeColor="accent1" w:themeShade="BF"/>
      <w:sz w:val="26"/>
      <w:szCs w:val="26"/>
      <w:bdr w:val="nil"/>
      <w:lang w:val="en-US" w:eastAsia="en-US"/>
    </w:rPr>
  </w:style>
  <w:style w:type="paragraph" w:customStyle="1" w:styleId="HeaderFooter">
    <w:name w:val="Header &amp; Footer"/>
    <w:rsid w:val="009631D2"/>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Body">
    <w:name w:val="Body"/>
    <w:rsid w:val="009631D2"/>
    <w:pPr>
      <w:pBdr>
        <w:top w:val="nil"/>
        <w:left w:val="nil"/>
        <w:bottom w:val="nil"/>
        <w:right w:val="nil"/>
        <w:between w:val="nil"/>
        <w:bar w:val="nil"/>
      </w:pBdr>
    </w:pPr>
    <w:rPr>
      <w:rFonts w:ascii="Cambria" w:eastAsia="Arial Unicode MS" w:hAnsi="Cambria" w:cs="Arial Unicode MS"/>
      <w:color w:val="000000"/>
      <w:u w:color="000000"/>
      <w:bdr w:val="nil"/>
      <w:lang w:val="en-US"/>
      <w14:textOutline w14:w="0" w14:cap="flat" w14:cmpd="sng" w14:algn="ctr">
        <w14:noFill/>
        <w14:prstDash w14:val="solid"/>
        <w14:bevel/>
      </w14:textOutline>
    </w:rPr>
  </w:style>
  <w:style w:type="paragraph" w:styleId="Title">
    <w:name w:val="Title"/>
    <w:basedOn w:val="Normal"/>
    <w:next w:val="Normal"/>
    <w:link w:val="TitleChar"/>
    <w:uiPriority w:val="10"/>
    <w:qFormat/>
    <w:rsid w:val="009631D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31D2"/>
    <w:rPr>
      <w:rFonts w:asciiTheme="majorHAnsi" w:eastAsiaTheme="majorEastAsia" w:hAnsiTheme="majorHAnsi" w:cstheme="majorBidi"/>
      <w:spacing w:val="-10"/>
      <w:kern w:val="28"/>
      <w:sz w:val="56"/>
      <w:szCs w:val="56"/>
      <w:bdr w:val="nil"/>
      <w:lang w:val="en-US" w:eastAsia="en-US"/>
    </w:rPr>
  </w:style>
  <w:style w:type="paragraph" w:customStyle="1" w:styleId="Bullets">
    <w:name w:val="Bullets"/>
    <w:basedOn w:val="Normal"/>
    <w:uiPriority w:val="99"/>
    <w:rsid w:val="009631D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before="57" w:line="288" w:lineRule="auto"/>
      <w:ind w:left="220" w:hanging="180"/>
      <w:textAlignment w:val="center"/>
    </w:pPr>
    <w:rPr>
      <w:rFonts w:ascii="ArialMT" w:eastAsia="Cambria" w:hAnsi="ArialMT" w:cs="ArialMT"/>
      <w:color w:val="000000"/>
      <w:sz w:val="22"/>
      <w:szCs w:val="22"/>
      <w:bdr w:val="none" w:sz="0" w:space="0" w:color="auto"/>
      <w:lang w:val="en-GB"/>
    </w:rPr>
  </w:style>
  <w:style w:type="paragraph" w:styleId="ListParagraph">
    <w:name w:val="List Paragraph"/>
    <w:basedOn w:val="Normal"/>
    <w:uiPriority w:val="34"/>
    <w:qFormat/>
    <w:rsid w:val="009631D2"/>
    <w:pPr>
      <w:ind w:left="720"/>
      <w:contextualSpacing/>
    </w:pPr>
  </w:style>
  <w:style w:type="paragraph" w:styleId="NormalWeb">
    <w:name w:val="Normal (Web)"/>
    <w:basedOn w:val="Normal"/>
    <w:uiPriority w:val="99"/>
    <w:rsid w:val="009631D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240" w:line="360" w:lineRule="atLeast"/>
      <w:textAlignment w:val="center"/>
    </w:pPr>
    <w:rPr>
      <w:rFonts w:ascii="TimesNewRomanPSMT" w:eastAsia="Cambria" w:hAnsi="TimesNewRomanPSMT" w:cs="TimesNewRomanPSMT"/>
      <w:color w:val="000000"/>
      <w:bdr w:val="none" w:sz="0" w:space="0" w:color="auto"/>
    </w:rPr>
  </w:style>
  <w:style w:type="paragraph" w:styleId="Header">
    <w:name w:val="header"/>
    <w:basedOn w:val="Normal"/>
    <w:link w:val="HeaderChar"/>
    <w:uiPriority w:val="99"/>
    <w:unhideWhenUsed/>
    <w:rsid w:val="00440936"/>
    <w:pPr>
      <w:tabs>
        <w:tab w:val="center" w:pos="4513"/>
        <w:tab w:val="right" w:pos="9026"/>
      </w:tabs>
    </w:pPr>
  </w:style>
  <w:style w:type="character" w:customStyle="1" w:styleId="HeaderChar">
    <w:name w:val="Header Char"/>
    <w:basedOn w:val="DefaultParagraphFont"/>
    <w:link w:val="Header"/>
    <w:uiPriority w:val="99"/>
    <w:rsid w:val="00440936"/>
    <w:rPr>
      <w:rFonts w:ascii="Times New Roman" w:eastAsia="Arial Unicode MS" w:hAnsi="Times New Roman" w:cs="Times New Roman"/>
      <w:bdr w:val="nil"/>
      <w:lang w:val="en-US" w:eastAsia="en-US"/>
    </w:rPr>
  </w:style>
  <w:style w:type="paragraph" w:styleId="Footer">
    <w:name w:val="footer"/>
    <w:basedOn w:val="Normal"/>
    <w:link w:val="FooterChar"/>
    <w:uiPriority w:val="99"/>
    <w:unhideWhenUsed/>
    <w:rsid w:val="00440936"/>
    <w:pPr>
      <w:tabs>
        <w:tab w:val="center" w:pos="4513"/>
        <w:tab w:val="right" w:pos="9026"/>
      </w:tabs>
    </w:pPr>
  </w:style>
  <w:style w:type="character" w:customStyle="1" w:styleId="FooterChar">
    <w:name w:val="Footer Char"/>
    <w:basedOn w:val="DefaultParagraphFont"/>
    <w:link w:val="Footer"/>
    <w:uiPriority w:val="99"/>
    <w:rsid w:val="00440936"/>
    <w:rPr>
      <w:rFonts w:ascii="Times New Roman" w:eastAsia="Arial Unicode MS" w:hAnsi="Times New Roman" w:cs="Times New Roman"/>
      <w:bdr w:val="nil"/>
      <w:lang w:val="en-US" w:eastAsia="en-US"/>
    </w:rPr>
  </w:style>
  <w:style w:type="character" w:styleId="Hyperlink">
    <w:name w:val="Hyperlink"/>
    <w:basedOn w:val="DefaultParagraphFont"/>
    <w:uiPriority w:val="99"/>
    <w:unhideWhenUsed/>
    <w:rsid w:val="00440936"/>
    <w:rPr>
      <w:color w:val="0563C1" w:themeColor="hyperlink"/>
      <w:u w:val="single"/>
    </w:rPr>
  </w:style>
  <w:style w:type="character" w:styleId="UnresolvedMention">
    <w:name w:val="Unresolved Mention"/>
    <w:basedOn w:val="DefaultParagraphFont"/>
    <w:uiPriority w:val="99"/>
    <w:rsid w:val="004409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shc.org.au/LinkClick.aspx?link=https%3a%2f%2fmshc.org.au%2fHealthProfessional%2fMSHCTreatmentGuidelines%2fHerpe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Ong</dc:creator>
  <cp:keywords/>
  <dc:description/>
  <cp:lastModifiedBy>Chung, Mark</cp:lastModifiedBy>
  <cp:revision>8</cp:revision>
  <dcterms:created xsi:type="dcterms:W3CDTF">2021-02-13T00:11:00Z</dcterms:created>
  <dcterms:modified xsi:type="dcterms:W3CDTF">2021-02-15T04:07:00Z</dcterms:modified>
</cp:coreProperties>
</file>